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sz w:val="32"/>
          <w:szCs w:val="32"/>
        </w:rPr>
      </w:pPr>
    </w:p>
    <w:p>
      <w:pPr>
        <w:jc w:val="center"/>
        <w:rPr>
          <w:rFonts w:ascii="宋体"/>
          <w:b/>
          <w:sz w:val="32"/>
          <w:szCs w:val="32"/>
        </w:rPr>
      </w:pPr>
    </w:p>
    <w:p>
      <w:pPr>
        <w:jc w:val="center"/>
        <w:rPr>
          <w:rFonts w:ascii="宋体"/>
          <w:b/>
          <w:sz w:val="32"/>
          <w:szCs w:val="32"/>
        </w:rPr>
      </w:pPr>
    </w:p>
    <w:p>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山西省地方标准</w:t>
      </w:r>
    </w:p>
    <w:p>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《玉露香梨贮藏技术规程》</w:t>
      </w:r>
    </w:p>
    <w:p>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编制说明</w:t>
      </w:r>
    </w:p>
    <w:p>
      <w:pPr>
        <w:ind w:firstLine="643" w:firstLineChars="200"/>
        <w:rPr>
          <w:rFonts w:ascii="仿宋" w:hAnsi="仿宋" w:eastAsia="仿宋"/>
          <w:b/>
          <w:sz w:val="32"/>
          <w:szCs w:val="32"/>
        </w:rPr>
      </w:pPr>
    </w:p>
    <w:p>
      <w:pPr>
        <w:ind w:firstLine="643" w:firstLineChars="200"/>
        <w:rPr>
          <w:rFonts w:ascii="仿宋" w:hAnsi="仿宋" w:eastAsia="仿宋"/>
          <w:b/>
          <w:sz w:val="32"/>
          <w:szCs w:val="32"/>
        </w:rPr>
      </w:pPr>
    </w:p>
    <w:p>
      <w:pPr>
        <w:ind w:firstLine="643" w:firstLineChars="200"/>
        <w:rPr>
          <w:rFonts w:ascii="仿宋" w:hAnsi="仿宋" w:eastAsia="仿宋"/>
          <w:b/>
          <w:sz w:val="32"/>
          <w:szCs w:val="32"/>
        </w:rPr>
      </w:pPr>
    </w:p>
    <w:p>
      <w:pPr>
        <w:ind w:firstLine="643" w:firstLineChars="200"/>
        <w:rPr>
          <w:rFonts w:ascii="仿宋" w:hAnsi="仿宋" w:eastAsia="仿宋"/>
          <w:b/>
          <w:sz w:val="32"/>
          <w:szCs w:val="32"/>
        </w:rPr>
      </w:pPr>
    </w:p>
    <w:p>
      <w:pPr>
        <w:ind w:firstLine="643" w:firstLineChars="200"/>
        <w:rPr>
          <w:rFonts w:ascii="仿宋" w:hAnsi="仿宋" w:eastAsia="仿宋"/>
          <w:b/>
          <w:sz w:val="32"/>
          <w:szCs w:val="32"/>
        </w:rPr>
      </w:pPr>
    </w:p>
    <w:p>
      <w:pPr>
        <w:ind w:firstLine="643" w:firstLineChars="200"/>
        <w:rPr>
          <w:rFonts w:ascii="仿宋" w:hAnsi="仿宋" w:eastAsia="仿宋"/>
          <w:b/>
          <w:sz w:val="32"/>
          <w:szCs w:val="32"/>
        </w:rPr>
      </w:pPr>
    </w:p>
    <w:p>
      <w:pPr>
        <w:ind w:firstLine="643" w:firstLineChars="200"/>
        <w:rPr>
          <w:rFonts w:ascii="仿宋" w:hAnsi="仿宋" w:eastAsia="仿宋"/>
          <w:b/>
          <w:sz w:val="32"/>
          <w:szCs w:val="32"/>
        </w:rPr>
      </w:pPr>
    </w:p>
    <w:p>
      <w:pPr>
        <w:ind w:firstLine="643" w:firstLineChars="200"/>
        <w:jc w:val="center"/>
        <w:rPr>
          <w:rFonts w:ascii="仿宋" w:hAnsi="仿宋" w:eastAsia="仿宋"/>
          <w:b/>
          <w:sz w:val="32"/>
          <w:szCs w:val="32"/>
        </w:rPr>
      </w:pPr>
    </w:p>
    <w:p>
      <w:pPr>
        <w:ind w:firstLine="643" w:firstLineChars="200"/>
        <w:jc w:val="center"/>
        <w:rPr>
          <w:rFonts w:ascii="宋体"/>
          <w:b/>
          <w:sz w:val="32"/>
          <w:szCs w:val="32"/>
        </w:rPr>
      </w:pPr>
    </w:p>
    <w:p>
      <w:pPr>
        <w:ind w:firstLine="643" w:firstLineChars="200"/>
        <w:jc w:val="center"/>
        <w:rPr>
          <w:rFonts w:ascii="宋体"/>
          <w:b/>
          <w:sz w:val="32"/>
          <w:szCs w:val="32"/>
        </w:rPr>
      </w:pPr>
    </w:p>
    <w:p>
      <w:pPr>
        <w:ind w:firstLine="643" w:firstLineChars="200"/>
        <w:jc w:val="center"/>
        <w:rPr>
          <w:rFonts w:ascii="宋体"/>
          <w:b/>
          <w:sz w:val="32"/>
          <w:szCs w:val="32"/>
        </w:rPr>
      </w:pPr>
    </w:p>
    <w:p>
      <w:pPr>
        <w:spacing w:line="360" w:lineRule="auto"/>
        <w:jc w:val="center"/>
        <w:rPr>
          <w:rFonts w:ascii="宋体" w:hAnsi="宋体"/>
          <w:b/>
          <w:kern w:val="22"/>
          <w:sz w:val="10"/>
          <w:szCs w:val="10"/>
        </w:rPr>
      </w:pPr>
      <w:r>
        <w:rPr>
          <w:rFonts w:hint="eastAsia" w:ascii="宋体" w:hAnsi="宋体"/>
          <w:b/>
          <w:kern w:val="22"/>
          <w:sz w:val="32"/>
          <w:szCs w:val="32"/>
        </w:rPr>
        <w:t>编制单位：山西农业大学</w:t>
      </w:r>
    </w:p>
    <w:p>
      <w:pPr>
        <w:jc w:val="center"/>
        <w:rPr>
          <w:rFonts w:ascii="宋体" w:hAnsi="宋体"/>
          <w:b/>
          <w:sz w:val="32"/>
          <w:szCs w:val="32"/>
        </w:rPr>
      </w:pPr>
      <w:r>
        <w:rPr>
          <w:rFonts w:hint="eastAsia" w:ascii="宋体" w:hAnsi="宋体"/>
          <w:b/>
          <w:sz w:val="32"/>
          <w:szCs w:val="32"/>
        </w:rPr>
        <w:t xml:space="preserve"> 二〇二四年一月</w:t>
      </w: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spacing w:line="520" w:lineRule="exact"/>
        <w:jc w:val="center"/>
        <w:rPr>
          <w:rFonts w:ascii="宋体"/>
          <w:b/>
          <w:sz w:val="30"/>
          <w:szCs w:val="30"/>
        </w:rPr>
      </w:pPr>
      <w:r>
        <w:rPr>
          <w:rFonts w:hint="eastAsia" w:ascii="宋体" w:hAnsi="宋体"/>
          <w:b/>
          <w:sz w:val="30"/>
          <w:szCs w:val="30"/>
        </w:rPr>
        <w:t>山西省地方标准</w:t>
      </w:r>
    </w:p>
    <w:p>
      <w:pPr>
        <w:spacing w:line="520" w:lineRule="exact"/>
        <w:jc w:val="center"/>
        <w:rPr>
          <w:rFonts w:ascii="宋体"/>
          <w:b/>
          <w:sz w:val="30"/>
          <w:szCs w:val="30"/>
        </w:rPr>
      </w:pPr>
      <w:r>
        <w:rPr>
          <w:rFonts w:hint="eastAsia" w:ascii="宋体" w:hAnsi="宋体"/>
          <w:b/>
          <w:sz w:val="30"/>
          <w:szCs w:val="30"/>
        </w:rPr>
        <w:t>《玉露香梨贮藏技术规程》</w:t>
      </w:r>
    </w:p>
    <w:p>
      <w:pPr>
        <w:spacing w:line="520" w:lineRule="exact"/>
        <w:jc w:val="center"/>
        <w:rPr>
          <w:rFonts w:ascii="宋体" w:hAnsi="宋体"/>
          <w:b/>
          <w:sz w:val="30"/>
          <w:szCs w:val="30"/>
        </w:rPr>
      </w:pPr>
      <w:r>
        <w:rPr>
          <w:rFonts w:hint="eastAsia" w:ascii="宋体" w:hAnsi="宋体"/>
          <w:b/>
          <w:sz w:val="30"/>
          <w:szCs w:val="30"/>
        </w:rPr>
        <w:t>编制说明</w:t>
      </w:r>
    </w:p>
    <w:p>
      <w:pPr>
        <w:spacing w:line="520" w:lineRule="exact"/>
        <w:jc w:val="center"/>
        <w:rPr>
          <w:rFonts w:ascii="宋体" w:hAnsi="宋体"/>
          <w:b/>
          <w:sz w:val="30"/>
          <w:szCs w:val="30"/>
        </w:rPr>
      </w:pPr>
    </w:p>
    <w:p>
      <w:pPr>
        <w:spacing w:line="360" w:lineRule="auto"/>
        <w:ind w:firstLine="480" w:firstLineChars="200"/>
        <w:outlineLvl w:val="0"/>
        <w:rPr>
          <w:rFonts w:ascii="黑体" w:eastAsia="黑体"/>
          <w:sz w:val="24"/>
        </w:rPr>
      </w:pPr>
      <w:r>
        <w:rPr>
          <w:rFonts w:hint="eastAsia" w:ascii="黑体" w:eastAsia="黑体"/>
          <w:sz w:val="24"/>
        </w:rPr>
        <w:t>一、工作简况</w:t>
      </w:r>
    </w:p>
    <w:p>
      <w:pPr>
        <w:spacing w:line="360" w:lineRule="auto"/>
        <w:ind w:left="465"/>
        <w:outlineLvl w:val="1"/>
        <w:rPr>
          <w:rFonts w:ascii="楷体_GB2312" w:eastAsia="楷体_GB2312"/>
          <w:sz w:val="24"/>
        </w:rPr>
      </w:pPr>
      <w:r>
        <w:rPr>
          <w:rFonts w:hint="eastAsia" w:ascii="楷体_GB2312" w:eastAsia="楷体_GB2312"/>
          <w:sz w:val="24"/>
        </w:rPr>
        <w:t>1任务来源</w:t>
      </w:r>
    </w:p>
    <w:p>
      <w:pPr>
        <w:spacing w:line="360" w:lineRule="auto"/>
        <w:ind w:firstLine="480" w:firstLineChars="200"/>
        <w:outlineLvl w:val="1"/>
        <w:rPr>
          <w:rFonts w:ascii="仿宋_GB2312" w:hAnsi="宋体" w:eastAsia="仿宋_GB2312"/>
          <w:sz w:val="24"/>
        </w:rPr>
      </w:pPr>
      <w:r>
        <w:rPr>
          <w:rFonts w:hint="eastAsia" w:ascii="仿宋_GB2312" w:hAnsi="宋体" w:eastAsia="仿宋_GB2312"/>
          <w:sz w:val="24"/>
        </w:rPr>
        <w:t xml:space="preserve">按照山西省市场监督管理局关于2022年度省级地方标准复审结论公告（山西省地方标准公告2022年第20号），《玉露香梨贮藏技术规程》DB14/T </w:t>
      </w:r>
      <w:r>
        <w:rPr>
          <w:rFonts w:ascii="仿宋_GB2312" w:hAnsi="宋体" w:eastAsia="仿宋_GB2312"/>
          <w:sz w:val="24"/>
        </w:rPr>
        <w:t>1125-2015</w:t>
      </w:r>
      <w:r>
        <w:rPr>
          <w:rFonts w:hint="eastAsia" w:ascii="仿宋_GB2312" w:hAnsi="宋体" w:eastAsia="仿宋_GB2312"/>
          <w:sz w:val="24"/>
        </w:rPr>
        <w:t>被列入山西省地方标准修订计划，本标准由山西省农业标准化技术委员会（SXS/TC19）归口。</w:t>
      </w:r>
    </w:p>
    <w:p>
      <w:pPr>
        <w:spacing w:line="360" w:lineRule="auto"/>
        <w:ind w:left="465"/>
        <w:outlineLvl w:val="1"/>
        <w:rPr>
          <w:rFonts w:ascii="楷体_GB2312" w:eastAsia="楷体_GB2312"/>
          <w:sz w:val="24"/>
        </w:rPr>
      </w:pPr>
      <w:r>
        <w:rPr>
          <w:rFonts w:hint="eastAsia" w:ascii="楷体_GB2312" w:eastAsia="楷体_GB2312"/>
          <w:sz w:val="24"/>
        </w:rPr>
        <w:t>2 起草</w:t>
      </w:r>
      <w:r>
        <w:rPr>
          <w:rFonts w:ascii="楷体_GB2312" w:eastAsia="楷体_GB2312"/>
          <w:sz w:val="24"/>
        </w:rPr>
        <w:t>单位和主要起草人</w:t>
      </w:r>
    </w:p>
    <w:p>
      <w:pPr>
        <w:spacing w:line="360" w:lineRule="auto"/>
        <w:ind w:firstLine="480" w:firstLineChars="200"/>
        <w:jc w:val="left"/>
        <w:outlineLvl w:val="1"/>
        <w:rPr>
          <w:rFonts w:ascii="仿宋_GB2312" w:hAnsi="宋体" w:eastAsia="仿宋_GB2312"/>
          <w:sz w:val="24"/>
        </w:rPr>
      </w:pPr>
      <w:r>
        <w:rPr>
          <w:rFonts w:ascii="仿宋_GB2312" w:hAnsi="宋体" w:eastAsia="仿宋_GB2312"/>
          <w:sz w:val="24"/>
        </w:rPr>
        <w:t>起草任务由</w:t>
      </w:r>
      <w:r>
        <w:rPr>
          <w:rFonts w:hint="eastAsia" w:ascii="仿宋_GB2312" w:hAnsi="宋体" w:eastAsia="仿宋_GB2312"/>
          <w:sz w:val="24"/>
        </w:rPr>
        <w:t>山西农业大学果树研究所、中国农业科学院果树研究所承担</w:t>
      </w:r>
      <w:r>
        <w:rPr>
          <w:rFonts w:ascii="仿宋_GB2312" w:hAnsi="宋体" w:eastAsia="仿宋_GB2312"/>
          <w:sz w:val="24"/>
        </w:rPr>
        <w:t>。</w:t>
      </w:r>
    </w:p>
    <w:p>
      <w:pPr>
        <w:spacing w:line="360" w:lineRule="auto"/>
        <w:ind w:firstLine="480" w:firstLineChars="200"/>
        <w:jc w:val="center"/>
        <w:outlineLvl w:val="1"/>
        <w:rPr>
          <w:rFonts w:ascii="仿宋_GB2312" w:hAnsi="宋体" w:eastAsia="仿宋_GB2312"/>
          <w:sz w:val="24"/>
        </w:rPr>
      </w:pPr>
      <w:r>
        <w:rPr>
          <w:rFonts w:ascii="仿宋_GB2312" w:hAnsi="宋体" w:eastAsia="仿宋_GB2312"/>
          <w:sz w:val="24"/>
        </w:rPr>
        <w:t>主要起草人信息</w:t>
      </w:r>
    </w:p>
    <w:tbl>
      <w:tblPr>
        <w:tblStyle w:val="13"/>
        <w:tblW w:w="86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63"/>
        <w:gridCol w:w="1701"/>
        <w:gridCol w:w="3302"/>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400" w:lineRule="exact"/>
              <w:jc w:val="center"/>
              <w:rPr>
                <w:rFonts w:ascii="仿宋" w:hAnsi="仿宋" w:eastAsia="仿宋" w:cs="Courier New"/>
                <w:sz w:val="24"/>
              </w:rPr>
            </w:pPr>
            <w:r>
              <w:rPr>
                <w:rFonts w:hint="eastAsia" w:ascii="仿宋" w:hAnsi="仿宋" w:eastAsia="仿宋" w:cs="Courier New"/>
                <w:sz w:val="24"/>
              </w:rPr>
              <w:t>姓名</w:t>
            </w:r>
          </w:p>
        </w:tc>
        <w:tc>
          <w:tcPr>
            <w:tcW w:w="1163" w:type="dxa"/>
          </w:tcPr>
          <w:p>
            <w:pPr>
              <w:spacing w:line="400" w:lineRule="exact"/>
              <w:jc w:val="center"/>
              <w:rPr>
                <w:rFonts w:ascii="仿宋" w:hAnsi="仿宋" w:eastAsia="仿宋" w:cs="Courier New"/>
                <w:sz w:val="24"/>
              </w:rPr>
            </w:pPr>
            <w:r>
              <w:rPr>
                <w:rFonts w:hint="eastAsia" w:ascii="仿宋" w:hAnsi="仿宋" w:eastAsia="仿宋" w:cs="Courier New"/>
                <w:sz w:val="24"/>
              </w:rPr>
              <w:t>性别</w:t>
            </w:r>
          </w:p>
        </w:tc>
        <w:tc>
          <w:tcPr>
            <w:tcW w:w="1701" w:type="dxa"/>
          </w:tcPr>
          <w:p>
            <w:pPr>
              <w:spacing w:line="400" w:lineRule="exact"/>
              <w:jc w:val="center"/>
              <w:rPr>
                <w:rFonts w:ascii="仿宋" w:hAnsi="仿宋" w:eastAsia="仿宋" w:cs="Courier New"/>
                <w:sz w:val="24"/>
              </w:rPr>
            </w:pPr>
            <w:r>
              <w:rPr>
                <w:rFonts w:hint="eastAsia" w:ascii="仿宋" w:hAnsi="仿宋" w:eastAsia="仿宋" w:cs="Courier New"/>
                <w:sz w:val="24"/>
              </w:rPr>
              <w:t>职务/职称</w:t>
            </w:r>
          </w:p>
        </w:tc>
        <w:tc>
          <w:tcPr>
            <w:tcW w:w="3302" w:type="dxa"/>
          </w:tcPr>
          <w:p>
            <w:pPr>
              <w:spacing w:line="400" w:lineRule="exact"/>
              <w:jc w:val="center"/>
              <w:rPr>
                <w:rFonts w:ascii="仿宋" w:hAnsi="仿宋" w:eastAsia="仿宋" w:cs="Courier New"/>
                <w:sz w:val="24"/>
              </w:rPr>
            </w:pPr>
            <w:r>
              <w:rPr>
                <w:rFonts w:hint="eastAsia" w:ascii="仿宋" w:hAnsi="仿宋" w:eastAsia="仿宋" w:cs="Courier New"/>
                <w:sz w:val="24"/>
              </w:rPr>
              <w:t>工作单位</w:t>
            </w:r>
          </w:p>
        </w:tc>
        <w:tc>
          <w:tcPr>
            <w:tcW w:w="1263" w:type="dxa"/>
          </w:tcPr>
          <w:p>
            <w:pPr>
              <w:spacing w:line="400" w:lineRule="exact"/>
              <w:jc w:val="center"/>
              <w:rPr>
                <w:rFonts w:ascii="仿宋" w:hAnsi="仿宋" w:eastAsia="仿宋" w:cs="Courier New"/>
                <w:sz w:val="24"/>
              </w:rPr>
            </w:pPr>
            <w:r>
              <w:rPr>
                <w:rFonts w:hint="eastAsia" w:ascii="仿宋" w:hAnsi="仿宋" w:eastAsia="仿宋" w:cs="Courier New"/>
                <w:sz w:val="24"/>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400" w:lineRule="exact"/>
              <w:jc w:val="center"/>
            </w:pPr>
            <w:r>
              <w:rPr>
                <w:rFonts w:hint="eastAsia"/>
              </w:rPr>
              <w:t>杨盛</w:t>
            </w:r>
          </w:p>
        </w:tc>
        <w:tc>
          <w:tcPr>
            <w:tcW w:w="1163" w:type="dxa"/>
          </w:tcPr>
          <w:p>
            <w:pPr>
              <w:spacing w:line="400" w:lineRule="exact"/>
              <w:jc w:val="center"/>
              <w:rPr>
                <w:rFonts w:ascii="宋体" w:hAnsi="宋体" w:cs="Courier New"/>
                <w:szCs w:val="21"/>
              </w:rPr>
            </w:pPr>
            <w:r>
              <w:rPr>
                <w:rFonts w:hint="eastAsia" w:ascii="宋体" w:hAnsi="宋体" w:cs="Courier New"/>
                <w:szCs w:val="21"/>
              </w:rPr>
              <w:t>男</w:t>
            </w:r>
          </w:p>
        </w:tc>
        <w:tc>
          <w:tcPr>
            <w:tcW w:w="1701" w:type="dxa"/>
          </w:tcPr>
          <w:p>
            <w:pPr>
              <w:spacing w:line="400" w:lineRule="exact"/>
              <w:jc w:val="center"/>
              <w:rPr>
                <w:rFonts w:ascii="宋体" w:hAnsi="宋体" w:cs="Courier New"/>
                <w:szCs w:val="21"/>
              </w:rPr>
            </w:pPr>
            <w:r>
              <w:rPr>
                <w:rFonts w:hint="eastAsia" w:ascii="宋体" w:hAnsi="宋体" w:cs="Courier New"/>
                <w:szCs w:val="21"/>
              </w:rPr>
              <w:t>副研究员</w:t>
            </w:r>
          </w:p>
        </w:tc>
        <w:tc>
          <w:tcPr>
            <w:tcW w:w="3302" w:type="dxa"/>
          </w:tcPr>
          <w:p>
            <w:pPr>
              <w:spacing w:line="400" w:lineRule="exact"/>
              <w:jc w:val="center"/>
            </w:pPr>
            <w:r>
              <w:rPr>
                <w:rFonts w:hint="eastAsia"/>
              </w:rPr>
              <w:t>山西农业大学果树研究所</w:t>
            </w:r>
          </w:p>
        </w:tc>
        <w:tc>
          <w:tcPr>
            <w:tcW w:w="1263" w:type="dxa"/>
          </w:tcPr>
          <w:p>
            <w:pPr>
              <w:spacing w:line="400" w:lineRule="exact"/>
              <w:jc w:val="center"/>
              <w:rPr>
                <w:rFonts w:cs="Courier New" w:asciiTheme="minorEastAsia" w:hAnsiTheme="minorEastAsia" w:eastAsiaTheme="minorEastAsia"/>
                <w:szCs w:val="21"/>
              </w:rPr>
            </w:pPr>
            <w:r>
              <w:rPr>
                <w:rFonts w:hint="eastAsia" w:cs="Courier New" w:asciiTheme="minorEastAsia" w:hAnsiTheme="minorEastAsia" w:eastAsiaTheme="minorEastAsia"/>
                <w:szCs w:val="21"/>
              </w:rPr>
              <w:t>全面负责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spacing w:line="400" w:lineRule="exact"/>
              <w:jc w:val="center"/>
              <w:rPr>
                <w:rFonts w:hint="eastAsia" w:ascii="Times New Roman" w:hAnsi="Times New Roman" w:eastAsia="宋体" w:cs="Times New Roman"/>
                <w:kern w:val="2"/>
                <w:sz w:val="21"/>
                <w:szCs w:val="24"/>
                <w:lang w:val="en-US" w:eastAsia="zh-CN" w:bidi="ar-SA"/>
              </w:rPr>
            </w:pPr>
            <w:r>
              <w:rPr>
                <w:rFonts w:hint="eastAsia" w:hAnsi="宋体"/>
              </w:rPr>
              <w:t>郝国伟</w:t>
            </w:r>
          </w:p>
        </w:tc>
        <w:tc>
          <w:tcPr>
            <w:tcW w:w="1163" w:type="dxa"/>
            <w:vAlign w:val="top"/>
          </w:tcPr>
          <w:p>
            <w:pPr>
              <w:spacing w:line="400" w:lineRule="exact"/>
              <w:jc w:val="center"/>
              <w:rPr>
                <w:rFonts w:hint="eastAsia" w:ascii="宋体" w:hAnsi="宋体" w:eastAsia="宋体" w:cs="Courier New"/>
                <w:kern w:val="2"/>
                <w:sz w:val="21"/>
                <w:szCs w:val="21"/>
                <w:lang w:val="en-US" w:eastAsia="zh-CN" w:bidi="ar-SA"/>
              </w:rPr>
            </w:pPr>
            <w:r>
              <w:rPr>
                <w:rFonts w:hint="eastAsia" w:ascii="宋体" w:hAnsi="宋体" w:cs="Courier New"/>
                <w:szCs w:val="21"/>
              </w:rPr>
              <w:t>男</w:t>
            </w:r>
          </w:p>
        </w:tc>
        <w:tc>
          <w:tcPr>
            <w:tcW w:w="1701" w:type="dxa"/>
            <w:vAlign w:val="top"/>
          </w:tcPr>
          <w:p>
            <w:pPr>
              <w:spacing w:line="400" w:lineRule="exact"/>
              <w:jc w:val="center"/>
              <w:rPr>
                <w:rFonts w:hint="eastAsia" w:ascii="宋体" w:hAnsi="宋体" w:eastAsia="宋体" w:cs="Courier New"/>
                <w:kern w:val="2"/>
                <w:sz w:val="21"/>
                <w:szCs w:val="21"/>
                <w:lang w:val="en-US" w:eastAsia="zh-CN" w:bidi="ar-SA"/>
              </w:rPr>
            </w:pPr>
            <w:r>
              <w:rPr>
                <w:rFonts w:hint="eastAsia" w:ascii="宋体" w:hAnsi="宋体" w:cs="Courier New"/>
                <w:szCs w:val="21"/>
              </w:rPr>
              <w:t>副研究员</w:t>
            </w:r>
          </w:p>
        </w:tc>
        <w:tc>
          <w:tcPr>
            <w:tcW w:w="3302" w:type="dxa"/>
            <w:vAlign w:val="top"/>
          </w:tcPr>
          <w:p>
            <w:pPr>
              <w:spacing w:line="400" w:lineRule="exact"/>
              <w:jc w:val="center"/>
              <w:rPr>
                <w:rFonts w:hint="eastAsia" w:ascii="仿宋" w:hAnsi="仿宋" w:eastAsia="仿宋" w:cs="Courier New"/>
                <w:kern w:val="2"/>
                <w:sz w:val="24"/>
                <w:szCs w:val="24"/>
                <w:lang w:val="en-US" w:eastAsia="zh-CN" w:bidi="ar-SA"/>
              </w:rPr>
            </w:pPr>
            <w:r>
              <w:rPr>
                <w:rFonts w:hint="eastAsia"/>
              </w:rPr>
              <w:t>山西农业大学果树研究所</w:t>
            </w:r>
          </w:p>
        </w:tc>
        <w:tc>
          <w:tcPr>
            <w:tcW w:w="1263" w:type="dxa"/>
            <w:vAlign w:val="top"/>
          </w:tcPr>
          <w:p>
            <w:pPr>
              <w:spacing w:line="400" w:lineRule="exact"/>
              <w:jc w:val="center"/>
              <w:rPr>
                <w:rFonts w:hint="eastAsia" w:cs="Courier New" w:asciiTheme="minorEastAsia" w:hAnsiTheme="minorEastAsia" w:eastAsiaTheme="minorEastAsia"/>
                <w:kern w:val="2"/>
                <w:sz w:val="21"/>
                <w:szCs w:val="21"/>
                <w:lang w:val="en-US" w:eastAsia="zh-CN" w:bidi="ar-SA"/>
              </w:rPr>
            </w:pPr>
            <w:r>
              <w:rPr>
                <w:rFonts w:hint="eastAsia" w:cs="Courier New" w:asciiTheme="minorEastAsia" w:hAnsiTheme="minorEastAsia" w:eastAsiaTheme="minorEastAsia"/>
                <w:szCs w:val="21"/>
              </w:rPr>
              <w:t>调查研究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spacing w:line="400" w:lineRule="exact"/>
              <w:jc w:val="center"/>
              <w:rPr>
                <w:rFonts w:hint="eastAsia" w:ascii="Times New Roman" w:hAnsi="Times New Roman" w:eastAsia="宋体" w:cs="Times New Roman"/>
                <w:kern w:val="2"/>
                <w:sz w:val="21"/>
                <w:szCs w:val="24"/>
                <w:lang w:val="en-US" w:eastAsia="zh-CN" w:bidi="ar-SA"/>
              </w:rPr>
            </w:pPr>
            <w:r>
              <w:rPr>
                <w:rFonts w:hint="eastAsia"/>
              </w:rPr>
              <w:t>张晓伟</w:t>
            </w:r>
          </w:p>
        </w:tc>
        <w:tc>
          <w:tcPr>
            <w:tcW w:w="1163" w:type="dxa"/>
            <w:vAlign w:val="top"/>
          </w:tcPr>
          <w:p>
            <w:pPr>
              <w:spacing w:line="400" w:lineRule="exact"/>
              <w:jc w:val="center"/>
              <w:rPr>
                <w:rFonts w:hint="eastAsia" w:ascii="宋体" w:hAnsi="宋体" w:eastAsia="宋体" w:cs="Courier New"/>
                <w:kern w:val="2"/>
                <w:sz w:val="21"/>
                <w:szCs w:val="21"/>
                <w:lang w:val="en-US" w:eastAsia="zh-CN" w:bidi="ar-SA"/>
              </w:rPr>
            </w:pPr>
            <w:r>
              <w:rPr>
                <w:rFonts w:hint="eastAsia" w:ascii="宋体" w:hAnsi="宋体" w:cs="Courier New"/>
                <w:szCs w:val="21"/>
              </w:rPr>
              <w:t>女</w:t>
            </w:r>
          </w:p>
        </w:tc>
        <w:tc>
          <w:tcPr>
            <w:tcW w:w="1701" w:type="dxa"/>
            <w:vAlign w:val="top"/>
          </w:tcPr>
          <w:p>
            <w:pPr>
              <w:spacing w:line="400" w:lineRule="exact"/>
              <w:jc w:val="center"/>
              <w:rPr>
                <w:rFonts w:hint="eastAsia" w:ascii="宋体" w:hAnsi="宋体" w:eastAsia="宋体" w:cs="Courier New"/>
                <w:kern w:val="2"/>
                <w:sz w:val="21"/>
                <w:szCs w:val="21"/>
                <w:lang w:val="en-US" w:eastAsia="zh-CN" w:bidi="ar-SA"/>
              </w:rPr>
            </w:pPr>
            <w:r>
              <w:rPr>
                <w:rFonts w:hint="eastAsia" w:ascii="宋体" w:hAnsi="宋体" w:cs="Courier New"/>
                <w:szCs w:val="21"/>
              </w:rPr>
              <w:t>副研究员</w:t>
            </w:r>
          </w:p>
        </w:tc>
        <w:tc>
          <w:tcPr>
            <w:tcW w:w="3302" w:type="dxa"/>
            <w:vAlign w:val="top"/>
          </w:tcPr>
          <w:p>
            <w:pPr>
              <w:spacing w:line="400" w:lineRule="exact"/>
              <w:jc w:val="center"/>
              <w:rPr>
                <w:rFonts w:hint="eastAsia" w:ascii="仿宋" w:hAnsi="仿宋" w:eastAsia="仿宋" w:cs="Courier New"/>
                <w:kern w:val="2"/>
                <w:sz w:val="24"/>
                <w:szCs w:val="24"/>
                <w:lang w:val="en-US" w:eastAsia="zh-CN" w:bidi="ar-SA"/>
              </w:rPr>
            </w:pPr>
            <w:r>
              <w:rPr>
                <w:rFonts w:hint="eastAsia"/>
              </w:rPr>
              <w:t>山西农业大学果树研究所</w:t>
            </w:r>
          </w:p>
        </w:tc>
        <w:tc>
          <w:tcPr>
            <w:tcW w:w="1263" w:type="dxa"/>
            <w:vAlign w:val="top"/>
          </w:tcPr>
          <w:p>
            <w:pPr>
              <w:spacing w:line="400" w:lineRule="exact"/>
              <w:jc w:val="center"/>
              <w:rPr>
                <w:rFonts w:hint="eastAsia" w:cs="Courier New" w:asciiTheme="minorEastAsia" w:hAnsiTheme="minorEastAsia" w:eastAsiaTheme="minorEastAsia"/>
                <w:kern w:val="2"/>
                <w:sz w:val="21"/>
                <w:szCs w:val="21"/>
                <w:lang w:val="en-US" w:eastAsia="zh-CN" w:bidi="ar-SA"/>
              </w:rPr>
            </w:pPr>
            <w:r>
              <w:rPr>
                <w:rFonts w:hint="eastAsia" w:cs="Courier New" w:asciiTheme="minorEastAsia" w:hAnsiTheme="minorEastAsia" w:eastAsiaTheme="minorEastAsia"/>
                <w:szCs w:val="21"/>
              </w:rPr>
              <w:t>资料收集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spacing w:line="400" w:lineRule="exact"/>
              <w:jc w:val="center"/>
              <w:rPr>
                <w:rFonts w:hint="eastAsia" w:ascii="Times New Roman" w:hAnsi="Times New Roman" w:eastAsia="宋体" w:cs="Times New Roman"/>
                <w:kern w:val="2"/>
                <w:sz w:val="21"/>
                <w:szCs w:val="24"/>
                <w:lang w:val="en-US" w:eastAsia="zh-CN" w:bidi="ar-SA"/>
              </w:rPr>
            </w:pPr>
            <w:r>
              <w:rPr>
                <w:rFonts w:hint="eastAsia"/>
              </w:rPr>
              <w:t>白牡丹</w:t>
            </w:r>
          </w:p>
        </w:tc>
        <w:tc>
          <w:tcPr>
            <w:tcW w:w="1163" w:type="dxa"/>
            <w:vAlign w:val="top"/>
          </w:tcPr>
          <w:p>
            <w:pPr>
              <w:spacing w:line="400" w:lineRule="exact"/>
              <w:jc w:val="center"/>
              <w:rPr>
                <w:rFonts w:hint="eastAsia" w:ascii="宋体" w:hAnsi="宋体" w:eastAsia="宋体" w:cs="Courier New"/>
                <w:kern w:val="2"/>
                <w:sz w:val="21"/>
                <w:szCs w:val="21"/>
                <w:lang w:val="en-US" w:eastAsia="zh-CN" w:bidi="ar-SA"/>
              </w:rPr>
            </w:pPr>
            <w:r>
              <w:rPr>
                <w:rFonts w:hint="eastAsia" w:ascii="宋体" w:hAnsi="宋体" w:cs="Courier New"/>
                <w:szCs w:val="21"/>
              </w:rPr>
              <w:t>女</w:t>
            </w:r>
          </w:p>
        </w:tc>
        <w:tc>
          <w:tcPr>
            <w:tcW w:w="1701" w:type="dxa"/>
            <w:vAlign w:val="top"/>
          </w:tcPr>
          <w:p>
            <w:pPr>
              <w:spacing w:line="400" w:lineRule="exact"/>
              <w:jc w:val="center"/>
              <w:rPr>
                <w:rFonts w:hint="eastAsia" w:ascii="宋体" w:hAnsi="宋体" w:eastAsia="宋体" w:cs="Courier New"/>
                <w:kern w:val="2"/>
                <w:sz w:val="21"/>
                <w:szCs w:val="21"/>
                <w:lang w:val="en-US" w:eastAsia="zh-CN" w:bidi="ar-SA"/>
              </w:rPr>
            </w:pPr>
            <w:r>
              <w:rPr>
                <w:rFonts w:hint="eastAsia" w:ascii="宋体" w:hAnsi="宋体" w:cs="Courier New"/>
                <w:szCs w:val="21"/>
              </w:rPr>
              <w:t>助理研究员</w:t>
            </w:r>
          </w:p>
        </w:tc>
        <w:tc>
          <w:tcPr>
            <w:tcW w:w="3302" w:type="dxa"/>
            <w:vAlign w:val="top"/>
          </w:tcPr>
          <w:p>
            <w:pPr>
              <w:spacing w:line="400" w:lineRule="exact"/>
              <w:jc w:val="center"/>
              <w:rPr>
                <w:rFonts w:hint="eastAsia" w:ascii="仿宋" w:hAnsi="仿宋" w:eastAsia="仿宋" w:cs="Courier New"/>
                <w:kern w:val="2"/>
                <w:sz w:val="24"/>
                <w:szCs w:val="24"/>
                <w:lang w:val="en-US" w:eastAsia="zh-CN" w:bidi="ar-SA"/>
              </w:rPr>
            </w:pPr>
            <w:r>
              <w:rPr>
                <w:rFonts w:hint="eastAsia"/>
              </w:rPr>
              <w:t>山西农业大学果树研究所</w:t>
            </w:r>
          </w:p>
        </w:tc>
        <w:tc>
          <w:tcPr>
            <w:tcW w:w="1263" w:type="dxa"/>
            <w:vAlign w:val="top"/>
          </w:tcPr>
          <w:p>
            <w:pPr>
              <w:spacing w:line="400" w:lineRule="exact"/>
              <w:jc w:val="center"/>
              <w:rPr>
                <w:rFonts w:hint="eastAsia" w:cs="Courier New" w:asciiTheme="minorEastAsia" w:hAnsiTheme="minorEastAsia" w:eastAsiaTheme="minorEastAsia"/>
                <w:kern w:val="2"/>
                <w:sz w:val="21"/>
                <w:szCs w:val="21"/>
                <w:lang w:val="en-US" w:eastAsia="zh-CN" w:bidi="ar-SA"/>
              </w:rPr>
            </w:pPr>
            <w:r>
              <w:rPr>
                <w:rFonts w:hint="eastAsia" w:cs="Courier New" w:asciiTheme="minorEastAsia" w:hAnsiTheme="minorEastAsia" w:eastAsiaTheme="minorEastAsia"/>
                <w:szCs w:val="21"/>
              </w:rPr>
              <w:t>室内试验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spacing w:line="400" w:lineRule="exact"/>
              <w:jc w:val="center"/>
              <w:rPr>
                <w:rFonts w:hint="eastAsia" w:ascii="Times New Roman" w:hAnsi="Times New Roman" w:eastAsia="宋体" w:cs="Times New Roman"/>
                <w:kern w:val="2"/>
                <w:sz w:val="21"/>
                <w:szCs w:val="24"/>
                <w:lang w:val="en-US" w:eastAsia="zh-CN" w:bidi="ar-SA"/>
              </w:rPr>
            </w:pPr>
            <w:r>
              <w:rPr>
                <w:rFonts w:hint="eastAsia" w:hAnsi="宋体"/>
              </w:rPr>
              <w:t>王文辉</w:t>
            </w:r>
          </w:p>
        </w:tc>
        <w:tc>
          <w:tcPr>
            <w:tcW w:w="1163" w:type="dxa"/>
            <w:vAlign w:val="top"/>
          </w:tcPr>
          <w:p>
            <w:pPr>
              <w:spacing w:line="400" w:lineRule="exact"/>
              <w:jc w:val="center"/>
              <w:rPr>
                <w:rFonts w:hint="eastAsia" w:ascii="宋体" w:hAnsi="宋体" w:eastAsia="宋体" w:cs="Courier New"/>
                <w:kern w:val="2"/>
                <w:sz w:val="21"/>
                <w:szCs w:val="21"/>
                <w:lang w:val="en-US" w:eastAsia="zh-CN" w:bidi="ar-SA"/>
              </w:rPr>
            </w:pPr>
            <w:r>
              <w:rPr>
                <w:rFonts w:hint="eastAsia" w:ascii="宋体" w:hAnsi="宋体" w:cs="Courier New"/>
                <w:szCs w:val="21"/>
              </w:rPr>
              <w:t>男</w:t>
            </w:r>
          </w:p>
        </w:tc>
        <w:tc>
          <w:tcPr>
            <w:tcW w:w="1701" w:type="dxa"/>
            <w:vAlign w:val="top"/>
          </w:tcPr>
          <w:p>
            <w:pPr>
              <w:spacing w:line="400" w:lineRule="exact"/>
              <w:jc w:val="center"/>
              <w:rPr>
                <w:rFonts w:hint="eastAsia" w:ascii="宋体" w:hAnsi="宋体" w:eastAsia="宋体" w:cs="Courier New"/>
                <w:kern w:val="2"/>
                <w:sz w:val="21"/>
                <w:szCs w:val="21"/>
                <w:lang w:val="en-US" w:eastAsia="zh-CN" w:bidi="ar-SA"/>
              </w:rPr>
            </w:pPr>
            <w:r>
              <w:rPr>
                <w:rFonts w:hint="eastAsia" w:ascii="宋体" w:hAnsi="宋体" w:cs="Courier New"/>
                <w:szCs w:val="21"/>
              </w:rPr>
              <w:t>研究员</w:t>
            </w:r>
          </w:p>
        </w:tc>
        <w:tc>
          <w:tcPr>
            <w:tcW w:w="3302" w:type="dxa"/>
            <w:vAlign w:val="top"/>
          </w:tcPr>
          <w:p>
            <w:pPr>
              <w:spacing w:line="400" w:lineRule="exact"/>
              <w:jc w:val="center"/>
              <w:rPr>
                <w:rFonts w:hint="eastAsia" w:ascii="仿宋" w:hAnsi="仿宋" w:eastAsia="仿宋" w:cs="Courier New"/>
                <w:kern w:val="2"/>
                <w:sz w:val="24"/>
                <w:szCs w:val="24"/>
                <w:lang w:val="en-US" w:eastAsia="zh-CN" w:bidi="ar-SA"/>
              </w:rPr>
            </w:pPr>
            <w:r>
              <w:rPr>
                <w:rFonts w:hint="eastAsia"/>
              </w:rPr>
              <w:t>中国农业科学院果树研究所</w:t>
            </w:r>
          </w:p>
        </w:tc>
        <w:tc>
          <w:tcPr>
            <w:tcW w:w="1263" w:type="dxa"/>
            <w:vAlign w:val="top"/>
          </w:tcPr>
          <w:p>
            <w:pPr>
              <w:spacing w:line="400" w:lineRule="exact"/>
              <w:jc w:val="center"/>
              <w:rPr>
                <w:rFonts w:hint="eastAsia" w:cs="Courier New" w:asciiTheme="minorEastAsia" w:hAnsiTheme="minorEastAsia" w:eastAsiaTheme="minorEastAsia"/>
                <w:kern w:val="2"/>
                <w:sz w:val="21"/>
                <w:szCs w:val="21"/>
                <w:lang w:val="en-US" w:eastAsia="zh-CN" w:bidi="ar-SA"/>
              </w:rPr>
            </w:pPr>
            <w:r>
              <w:rPr>
                <w:rFonts w:hint="eastAsia" w:cs="Courier New" w:asciiTheme="minorEastAsia" w:hAnsiTheme="minorEastAsia" w:eastAsiaTheme="minorEastAsia"/>
                <w:szCs w:val="21"/>
              </w:rPr>
              <w:t>文本起草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400" w:lineRule="exact"/>
              <w:jc w:val="center"/>
            </w:pPr>
            <w:r>
              <w:rPr>
                <w:rFonts w:hint="eastAsia"/>
              </w:rPr>
              <w:t>贾晓辉</w:t>
            </w:r>
          </w:p>
        </w:tc>
        <w:tc>
          <w:tcPr>
            <w:tcW w:w="1163" w:type="dxa"/>
          </w:tcPr>
          <w:p>
            <w:pPr>
              <w:spacing w:line="400" w:lineRule="exact"/>
              <w:jc w:val="center"/>
              <w:rPr>
                <w:rFonts w:ascii="宋体" w:hAnsi="宋体"/>
                <w:szCs w:val="21"/>
              </w:rPr>
            </w:pPr>
            <w:r>
              <w:rPr>
                <w:rFonts w:hint="eastAsia" w:ascii="宋体" w:hAnsi="宋体"/>
                <w:szCs w:val="21"/>
              </w:rPr>
              <w:t>女</w:t>
            </w:r>
          </w:p>
        </w:tc>
        <w:tc>
          <w:tcPr>
            <w:tcW w:w="1701" w:type="dxa"/>
          </w:tcPr>
          <w:p>
            <w:pPr>
              <w:spacing w:line="400" w:lineRule="exact"/>
              <w:jc w:val="center"/>
              <w:rPr>
                <w:rFonts w:ascii="宋体" w:hAnsi="宋体"/>
                <w:szCs w:val="21"/>
              </w:rPr>
            </w:pPr>
            <w:r>
              <w:rPr>
                <w:rFonts w:hint="eastAsia" w:ascii="宋体" w:hAnsi="宋体" w:cs="Courier New"/>
                <w:szCs w:val="21"/>
              </w:rPr>
              <w:t>研究员</w:t>
            </w:r>
          </w:p>
        </w:tc>
        <w:tc>
          <w:tcPr>
            <w:tcW w:w="3302" w:type="dxa"/>
          </w:tcPr>
          <w:p>
            <w:pPr>
              <w:spacing w:line="400" w:lineRule="exact"/>
              <w:jc w:val="center"/>
            </w:pPr>
            <w:r>
              <w:rPr>
                <w:rFonts w:hint="eastAsia"/>
              </w:rPr>
              <w:t>中国农业科学院果树研究所</w:t>
            </w:r>
          </w:p>
        </w:tc>
        <w:tc>
          <w:tcPr>
            <w:tcW w:w="1263" w:type="dxa"/>
          </w:tcPr>
          <w:p>
            <w:pPr>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试验研究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spacing w:line="400" w:lineRule="exact"/>
              <w:jc w:val="center"/>
              <w:rPr>
                <w:rFonts w:ascii="Times New Roman" w:hAnsi="Times New Roman" w:eastAsia="宋体" w:cs="Times New Roman"/>
                <w:kern w:val="2"/>
                <w:sz w:val="21"/>
                <w:szCs w:val="24"/>
                <w:lang w:val="en-US" w:eastAsia="zh-CN" w:bidi="ar-SA"/>
              </w:rPr>
            </w:pPr>
            <w:r>
              <w:rPr>
                <w:rFonts w:hint="eastAsia" w:hAnsi="宋体"/>
              </w:rPr>
              <w:t>张鑫楠</w:t>
            </w:r>
          </w:p>
        </w:tc>
        <w:tc>
          <w:tcPr>
            <w:tcW w:w="1163" w:type="dxa"/>
            <w:vAlign w:val="top"/>
          </w:tcPr>
          <w:p>
            <w:pPr>
              <w:spacing w:line="400" w:lineRule="exact"/>
              <w:jc w:val="center"/>
              <w:rPr>
                <w:rFonts w:ascii="宋体" w:hAnsi="宋体" w:eastAsia="宋体" w:cs="Courier New"/>
                <w:kern w:val="2"/>
                <w:sz w:val="21"/>
                <w:szCs w:val="21"/>
                <w:lang w:val="en-US" w:eastAsia="zh-CN" w:bidi="ar-SA"/>
              </w:rPr>
            </w:pPr>
            <w:r>
              <w:rPr>
                <w:rFonts w:hint="eastAsia" w:ascii="宋体" w:hAnsi="宋体" w:cs="Courier New"/>
                <w:szCs w:val="21"/>
              </w:rPr>
              <w:t>女</w:t>
            </w:r>
          </w:p>
        </w:tc>
        <w:tc>
          <w:tcPr>
            <w:tcW w:w="1701" w:type="dxa"/>
            <w:vAlign w:val="top"/>
          </w:tcPr>
          <w:p>
            <w:pPr>
              <w:spacing w:line="400" w:lineRule="exact"/>
              <w:jc w:val="center"/>
              <w:rPr>
                <w:rFonts w:ascii="宋体" w:hAnsi="宋体" w:eastAsia="宋体" w:cs="Courier New"/>
                <w:kern w:val="2"/>
                <w:sz w:val="21"/>
                <w:szCs w:val="21"/>
                <w:lang w:val="en-US" w:eastAsia="zh-CN" w:bidi="ar-SA"/>
              </w:rPr>
            </w:pPr>
            <w:r>
              <w:rPr>
                <w:rFonts w:hint="eastAsia" w:ascii="宋体" w:hAnsi="宋体" w:cs="Courier New"/>
                <w:szCs w:val="21"/>
              </w:rPr>
              <w:t>助理研究员</w:t>
            </w:r>
          </w:p>
        </w:tc>
        <w:tc>
          <w:tcPr>
            <w:tcW w:w="3302" w:type="dxa"/>
            <w:vAlign w:val="top"/>
          </w:tcPr>
          <w:p>
            <w:pPr>
              <w:spacing w:line="400" w:lineRule="exact"/>
              <w:jc w:val="center"/>
              <w:rPr>
                <w:rFonts w:ascii="仿宋" w:hAnsi="仿宋" w:eastAsia="仿宋" w:cs="Courier New"/>
                <w:kern w:val="2"/>
                <w:sz w:val="24"/>
                <w:szCs w:val="24"/>
                <w:lang w:val="en-US" w:eastAsia="zh-CN" w:bidi="ar-SA"/>
              </w:rPr>
            </w:pPr>
            <w:r>
              <w:rPr>
                <w:rFonts w:hint="eastAsia"/>
              </w:rPr>
              <w:t>中国农业科学院果树研究所</w:t>
            </w:r>
          </w:p>
        </w:tc>
        <w:tc>
          <w:tcPr>
            <w:tcW w:w="1263" w:type="dxa"/>
            <w:vAlign w:val="top"/>
          </w:tcPr>
          <w:p>
            <w:pPr>
              <w:spacing w:line="400" w:lineRule="exact"/>
              <w:jc w:val="center"/>
              <w:rPr>
                <w:rFonts w:cs="Courier New" w:asciiTheme="minorEastAsia" w:hAnsiTheme="minorEastAsia" w:eastAsiaTheme="minorEastAsia"/>
                <w:kern w:val="2"/>
                <w:sz w:val="21"/>
                <w:szCs w:val="21"/>
                <w:lang w:val="en-US" w:eastAsia="zh-CN" w:bidi="ar-SA"/>
              </w:rPr>
            </w:pPr>
            <w:r>
              <w:rPr>
                <w:rFonts w:hint="eastAsia" w:cs="Courier New" w:asciiTheme="minorEastAsia" w:hAnsiTheme="minorEastAsia" w:eastAsiaTheme="minorEastAsia"/>
                <w:szCs w:val="21"/>
              </w:rPr>
              <w:t>室内试验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spacing w:line="400" w:lineRule="exact"/>
              <w:jc w:val="center"/>
              <w:rPr>
                <w:rFonts w:ascii="Times New Roman" w:hAnsi="Times New Roman" w:eastAsia="宋体" w:cs="Times New Roman"/>
                <w:kern w:val="2"/>
                <w:sz w:val="21"/>
                <w:szCs w:val="24"/>
                <w:lang w:val="en-US" w:eastAsia="zh-CN" w:bidi="ar-SA"/>
              </w:rPr>
            </w:pPr>
            <w:r>
              <w:rPr>
                <w:rFonts w:hint="eastAsia" w:hAnsi="宋体"/>
              </w:rPr>
              <w:t>王志华</w:t>
            </w:r>
          </w:p>
        </w:tc>
        <w:tc>
          <w:tcPr>
            <w:tcW w:w="1163" w:type="dxa"/>
            <w:vAlign w:val="top"/>
          </w:tcPr>
          <w:p>
            <w:pPr>
              <w:spacing w:line="400" w:lineRule="exact"/>
              <w:jc w:val="center"/>
              <w:rPr>
                <w:rFonts w:ascii="宋体" w:hAnsi="宋体" w:eastAsia="宋体" w:cs="Courier New"/>
                <w:kern w:val="2"/>
                <w:sz w:val="21"/>
                <w:szCs w:val="21"/>
                <w:lang w:val="en-US" w:eastAsia="zh-CN" w:bidi="ar-SA"/>
              </w:rPr>
            </w:pPr>
            <w:r>
              <w:rPr>
                <w:rFonts w:hint="eastAsia" w:ascii="宋体" w:hAnsi="宋体" w:cs="Courier New"/>
                <w:szCs w:val="21"/>
              </w:rPr>
              <w:t>女</w:t>
            </w:r>
          </w:p>
        </w:tc>
        <w:tc>
          <w:tcPr>
            <w:tcW w:w="1701" w:type="dxa"/>
            <w:vAlign w:val="top"/>
          </w:tcPr>
          <w:p>
            <w:pPr>
              <w:spacing w:line="400" w:lineRule="exact"/>
              <w:jc w:val="center"/>
              <w:rPr>
                <w:rFonts w:ascii="宋体" w:hAnsi="宋体" w:eastAsia="宋体" w:cs="Courier New"/>
                <w:kern w:val="2"/>
                <w:sz w:val="21"/>
                <w:szCs w:val="21"/>
                <w:lang w:val="en-US" w:eastAsia="zh-CN" w:bidi="ar-SA"/>
              </w:rPr>
            </w:pPr>
            <w:r>
              <w:rPr>
                <w:rFonts w:hint="eastAsia" w:ascii="宋体" w:hAnsi="宋体" w:cs="Courier New"/>
                <w:szCs w:val="21"/>
              </w:rPr>
              <w:t>副研究员</w:t>
            </w:r>
          </w:p>
        </w:tc>
        <w:tc>
          <w:tcPr>
            <w:tcW w:w="3302" w:type="dxa"/>
            <w:vAlign w:val="top"/>
          </w:tcPr>
          <w:p>
            <w:pPr>
              <w:spacing w:line="400" w:lineRule="exact"/>
              <w:jc w:val="center"/>
              <w:rPr>
                <w:rFonts w:ascii="仿宋" w:hAnsi="仿宋" w:eastAsia="仿宋" w:cs="Courier New"/>
                <w:kern w:val="2"/>
                <w:sz w:val="24"/>
                <w:szCs w:val="24"/>
                <w:lang w:val="en-US" w:eastAsia="zh-CN" w:bidi="ar-SA"/>
              </w:rPr>
            </w:pPr>
            <w:r>
              <w:rPr>
                <w:rFonts w:hint="eastAsia"/>
              </w:rPr>
              <w:t>中国农业科学院果树研究所</w:t>
            </w:r>
          </w:p>
        </w:tc>
        <w:tc>
          <w:tcPr>
            <w:tcW w:w="1263" w:type="dxa"/>
            <w:vAlign w:val="top"/>
          </w:tcPr>
          <w:p>
            <w:pPr>
              <w:spacing w:line="400" w:lineRule="exact"/>
              <w:jc w:val="center"/>
              <w:rPr>
                <w:rFonts w:cs="Courier New" w:asciiTheme="minorEastAsia" w:hAnsiTheme="minorEastAsia" w:eastAsiaTheme="minorEastAsia"/>
                <w:kern w:val="2"/>
                <w:sz w:val="21"/>
                <w:szCs w:val="21"/>
                <w:lang w:val="en-US" w:eastAsia="zh-CN" w:bidi="ar-SA"/>
              </w:rPr>
            </w:pPr>
            <w:r>
              <w:rPr>
                <w:rFonts w:hint="eastAsia" w:cs="Courier New" w:asciiTheme="minorEastAsia" w:hAnsiTheme="minorEastAsia" w:eastAsiaTheme="minorEastAsia"/>
                <w:szCs w:val="21"/>
              </w:rPr>
              <w:t>室内试验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spacing w:line="400" w:lineRule="exact"/>
              <w:jc w:val="center"/>
              <w:rPr>
                <w:rFonts w:ascii="Times New Roman" w:hAnsi="Times New Roman" w:eastAsia="宋体" w:cs="Times New Roman"/>
                <w:kern w:val="2"/>
                <w:sz w:val="21"/>
                <w:szCs w:val="24"/>
                <w:lang w:val="en-US" w:eastAsia="zh-CN" w:bidi="ar-SA"/>
              </w:rPr>
            </w:pPr>
            <w:r>
              <w:rPr>
                <w:rFonts w:hint="eastAsia"/>
              </w:rPr>
              <w:t>王燕平</w:t>
            </w:r>
          </w:p>
        </w:tc>
        <w:tc>
          <w:tcPr>
            <w:tcW w:w="1163" w:type="dxa"/>
            <w:vAlign w:val="top"/>
          </w:tcPr>
          <w:p>
            <w:pPr>
              <w:spacing w:line="400" w:lineRule="exact"/>
              <w:jc w:val="center"/>
              <w:rPr>
                <w:rFonts w:ascii="宋体" w:hAnsi="宋体" w:eastAsia="宋体" w:cs="Courier New"/>
                <w:kern w:val="2"/>
                <w:sz w:val="21"/>
                <w:szCs w:val="21"/>
                <w:lang w:val="en-US" w:eastAsia="zh-CN" w:bidi="ar-SA"/>
              </w:rPr>
            </w:pPr>
            <w:r>
              <w:rPr>
                <w:rFonts w:hint="eastAsia" w:ascii="宋体" w:hAnsi="宋体" w:cs="Courier New"/>
                <w:szCs w:val="21"/>
              </w:rPr>
              <w:t>女</w:t>
            </w:r>
          </w:p>
        </w:tc>
        <w:tc>
          <w:tcPr>
            <w:tcW w:w="1701" w:type="dxa"/>
            <w:vAlign w:val="top"/>
          </w:tcPr>
          <w:p>
            <w:pPr>
              <w:spacing w:line="400" w:lineRule="exact"/>
              <w:jc w:val="center"/>
              <w:rPr>
                <w:rFonts w:ascii="宋体" w:hAnsi="宋体" w:eastAsia="宋体" w:cs="Courier New"/>
                <w:kern w:val="2"/>
                <w:sz w:val="21"/>
                <w:szCs w:val="21"/>
                <w:lang w:val="en-US" w:eastAsia="zh-CN" w:bidi="ar-SA"/>
              </w:rPr>
            </w:pPr>
            <w:r>
              <w:rPr>
                <w:rFonts w:hint="eastAsia" w:ascii="宋体" w:hAnsi="宋体" w:cs="Courier New"/>
                <w:szCs w:val="21"/>
              </w:rPr>
              <w:t>助理研究员</w:t>
            </w:r>
          </w:p>
        </w:tc>
        <w:tc>
          <w:tcPr>
            <w:tcW w:w="3302" w:type="dxa"/>
            <w:vAlign w:val="top"/>
          </w:tcPr>
          <w:p>
            <w:pPr>
              <w:spacing w:line="400" w:lineRule="exact"/>
              <w:jc w:val="center"/>
              <w:rPr>
                <w:rFonts w:ascii="仿宋" w:hAnsi="仿宋" w:eastAsia="仿宋" w:cs="Courier New"/>
                <w:kern w:val="2"/>
                <w:sz w:val="24"/>
                <w:szCs w:val="24"/>
                <w:lang w:val="en-US" w:eastAsia="zh-CN" w:bidi="ar-SA"/>
              </w:rPr>
            </w:pPr>
            <w:r>
              <w:rPr>
                <w:rFonts w:hint="eastAsia"/>
              </w:rPr>
              <w:t>山西农业大学果树研究所</w:t>
            </w:r>
          </w:p>
        </w:tc>
        <w:tc>
          <w:tcPr>
            <w:tcW w:w="1263" w:type="dxa"/>
            <w:vAlign w:val="top"/>
          </w:tcPr>
          <w:p>
            <w:pPr>
              <w:spacing w:line="400" w:lineRule="exact"/>
              <w:jc w:val="center"/>
              <w:rPr>
                <w:rFonts w:cs="Courier New" w:asciiTheme="minorEastAsia" w:hAnsiTheme="minorEastAsia" w:eastAsiaTheme="minorEastAsia"/>
                <w:kern w:val="2"/>
                <w:sz w:val="21"/>
                <w:szCs w:val="21"/>
                <w:lang w:val="en-US" w:eastAsia="zh-CN" w:bidi="ar-SA"/>
              </w:rPr>
            </w:pPr>
            <w:r>
              <w:rPr>
                <w:rFonts w:hint="eastAsia" w:cs="Courier New" w:asciiTheme="minorEastAsia" w:hAnsiTheme="minorEastAsia" w:eastAsiaTheme="minorEastAsia"/>
                <w:szCs w:val="21"/>
              </w:rPr>
              <w:t>室内试验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spacing w:line="400" w:lineRule="exact"/>
              <w:jc w:val="center"/>
              <w:rPr>
                <w:rFonts w:ascii="Times New Roman" w:hAnsi="Times New Roman" w:eastAsia="宋体" w:cs="Times New Roman"/>
                <w:kern w:val="2"/>
                <w:sz w:val="21"/>
                <w:szCs w:val="24"/>
                <w:lang w:val="en-US" w:eastAsia="zh-CN" w:bidi="ar-SA"/>
              </w:rPr>
            </w:pPr>
            <w:r>
              <w:rPr>
                <w:rFonts w:hint="eastAsia"/>
              </w:rPr>
              <w:t>刘晓宇</w:t>
            </w:r>
          </w:p>
        </w:tc>
        <w:tc>
          <w:tcPr>
            <w:tcW w:w="1163" w:type="dxa"/>
            <w:vAlign w:val="top"/>
          </w:tcPr>
          <w:p>
            <w:pPr>
              <w:spacing w:line="400" w:lineRule="exact"/>
              <w:jc w:val="center"/>
              <w:rPr>
                <w:rFonts w:ascii="宋体" w:hAnsi="宋体" w:eastAsia="宋体" w:cs="Courier New"/>
                <w:kern w:val="2"/>
                <w:sz w:val="21"/>
                <w:szCs w:val="21"/>
                <w:lang w:val="en-US" w:eastAsia="zh-CN" w:bidi="ar-SA"/>
              </w:rPr>
            </w:pPr>
            <w:r>
              <w:rPr>
                <w:rFonts w:hint="eastAsia" w:ascii="宋体" w:hAnsi="宋体" w:cs="Courier New"/>
                <w:szCs w:val="21"/>
              </w:rPr>
              <w:t>男</w:t>
            </w:r>
          </w:p>
        </w:tc>
        <w:tc>
          <w:tcPr>
            <w:tcW w:w="1701" w:type="dxa"/>
            <w:vAlign w:val="top"/>
          </w:tcPr>
          <w:p>
            <w:pPr>
              <w:spacing w:line="400" w:lineRule="exact"/>
              <w:jc w:val="center"/>
              <w:rPr>
                <w:rFonts w:ascii="宋体" w:hAnsi="宋体" w:eastAsia="宋体" w:cs="Courier New"/>
                <w:kern w:val="2"/>
                <w:sz w:val="21"/>
                <w:szCs w:val="21"/>
                <w:lang w:val="en-US" w:eastAsia="zh-CN" w:bidi="ar-SA"/>
              </w:rPr>
            </w:pPr>
            <w:r>
              <w:rPr>
                <w:rFonts w:hint="eastAsia" w:ascii="宋体" w:hAnsi="宋体" w:cs="Courier New"/>
                <w:szCs w:val="21"/>
              </w:rPr>
              <w:t>助理研究员</w:t>
            </w:r>
          </w:p>
        </w:tc>
        <w:tc>
          <w:tcPr>
            <w:tcW w:w="3302" w:type="dxa"/>
            <w:vAlign w:val="top"/>
          </w:tcPr>
          <w:p>
            <w:pPr>
              <w:spacing w:line="400" w:lineRule="exact"/>
              <w:jc w:val="center"/>
              <w:rPr>
                <w:rFonts w:ascii="仿宋" w:hAnsi="仿宋" w:eastAsia="仿宋" w:cs="Courier New"/>
                <w:kern w:val="2"/>
                <w:sz w:val="24"/>
                <w:szCs w:val="24"/>
                <w:lang w:val="en-US" w:eastAsia="zh-CN" w:bidi="ar-SA"/>
              </w:rPr>
            </w:pPr>
            <w:r>
              <w:rPr>
                <w:rFonts w:hint="eastAsia"/>
              </w:rPr>
              <w:t>山西农业大学果树研究所</w:t>
            </w:r>
          </w:p>
        </w:tc>
        <w:tc>
          <w:tcPr>
            <w:tcW w:w="1263" w:type="dxa"/>
            <w:vAlign w:val="top"/>
          </w:tcPr>
          <w:p>
            <w:pPr>
              <w:spacing w:line="400" w:lineRule="exact"/>
              <w:jc w:val="center"/>
              <w:rPr>
                <w:rFonts w:cs="Courier New" w:asciiTheme="minorEastAsia" w:hAnsiTheme="minorEastAsia" w:eastAsiaTheme="minorEastAsia"/>
                <w:kern w:val="2"/>
                <w:sz w:val="21"/>
                <w:szCs w:val="21"/>
                <w:lang w:val="en-US" w:eastAsia="zh-CN" w:bidi="ar-SA"/>
              </w:rPr>
            </w:pPr>
            <w:r>
              <w:rPr>
                <w:rFonts w:hint="eastAsia" w:cs="Courier New" w:asciiTheme="minorEastAsia" w:hAnsiTheme="minorEastAsia" w:eastAsiaTheme="minorEastAsia"/>
                <w:szCs w:val="21"/>
              </w:rPr>
              <w:t>室内试验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spacing w:line="400" w:lineRule="exact"/>
              <w:jc w:val="center"/>
              <w:rPr>
                <w:rFonts w:ascii="Times New Roman" w:hAnsi="Times New Roman" w:eastAsia="宋体" w:cs="Times New Roman"/>
                <w:kern w:val="2"/>
                <w:sz w:val="21"/>
                <w:szCs w:val="24"/>
                <w:lang w:val="en-US" w:eastAsia="zh-CN" w:bidi="ar-SA"/>
              </w:rPr>
            </w:pPr>
            <w:r>
              <w:rPr>
                <w:rFonts w:hint="eastAsia"/>
              </w:rPr>
              <w:t>杜艳民</w:t>
            </w:r>
          </w:p>
        </w:tc>
        <w:tc>
          <w:tcPr>
            <w:tcW w:w="1163" w:type="dxa"/>
            <w:vAlign w:val="top"/>
          </w:tcPr>
          <w:p>
            <w:pPr>
              <w:spacing w:line="400" w:lineRule="exact"/>
              <w:jc w:val="center"/>
              <w:rPr>
                <w:rFonts w:ascii="宋体" w:hAnsi="宋体" w:eastAsia="宋体" w:cs="Courier New"/>
                <w:kern w:val="2"/>
                <w:sz w:val="21"/>
                <w:szCs w:val="21"/>
                <w:lang w:val="en-US" w:eastAsia="zh-CN" w:bidi="ar-SA"/>
              </w:rPr>
            </w:pPr>
            <w:r>
              <w:rPr>
                <w:rFonts w:hint="eastAsia" w:ascii="宋体" w:hAnsi="宋体" w:cs="Courier New"/>
                <w:szCs w:val="21"/>
              </w:rPr>
              <w:t>男</w:t>
            </w:r>
          </w:p>
        </w:tc>
        <w:tc>
          <w:tcPr>
            <w:tcW w:w="1701" w:type="dxa"/>
            <w:vAlign w:val="top"/>
          </w:tcPr>
          <w:p>
            <w:pPr>
              <w:spacing w:line="400" w:lineRule="exact"/>
              <w:jc w:val="center"/>
              <w:rPr>
                <w:rFonts w:ascii="宋体" w:hAnsi="宋体" w:eastAsia="宋体" w:cs="Courier New"/>
                <w:kern w:val="2"/>
                <w:sz w:val="21"/>
                <w:szCs w:val="21"/>
                <w:lang w:val="en-US" w:eastAsia="zh-CN" w:bidi="ar-SA"/>
              </w:rPr>
            </w:pPr>
            <w:r>
              <w:rPr>
                <w:rFonts w:hint="eastAsia" w:ascii="宋体" w:hAnsi="宋体" w:cs="Courier New"/>
                <w:szCs w:val="21"/>
              </w:rPr>
              <w:t>副研究员</w:t>
            </w:r>
          </w:p>
        </w:tc>
        <w:tc>
          <w:tcPr>
            <w:tcW w:w="3302" w:type="dxa"/>
            <w:vAlign w:val="top"/>
          </w:tcPr>
          <w:p>
            <w:pPr>
              <w:spacing w:line="400" w:lineRule="exact"/>
              <w:jc w:val="center"/>
              <w:rPr>
                <w:rFonts w:ascii="仿宋" w:hAnsi="仿宋" w:eastAsia="仿宋" w:cs="Courier New"/>
                <w:kern w:val="2"/>
                <w:sz w:val="24"/>
                <w:szCs w:val="24"/>
                <w:lang w:val="en-US" w:eastAsia="zh-CN" w:bidi="ar-SA"/>
              </w:rPr>
            </w:pPr>
            <w:r>
              <w:rPr>
                <w:rFonts w:hint="eastAsia"/>
              </w:rPr>
              <w:t>中国农业科学院果树研究所</w:t>
            </w:r>
          </w:p>
        </w:tc>
        <w:tc>
          <w:tcPr>
            <w:tcW w:w="1263" w:type="dxa"/>
            <w:vAlign w:val="top"/>
          </w:tcPr>
          <w:p>
            <w:pPr>
              <w:spacing w:line="400" w:lineRule="exact"/>
              <w:jc w:val="center"/>
              <w:rPr>
                <w:rFonts w:cs="Courier New" w:asciiTheme="minorEastAsia" w:hAnsiTheme="minorEastAsia" w:eastAsiaTheme="minorEastAsia"/>
                <w:kern w:val="2"/>
                <w:sz w:val="21"/>
                <w:szCs w:val="21"/>
                <w:lang w:val="en-US" w:eastAsia="zh-CN" w:bidi="ar-SA"/>
              </w:rPr>
            </w:pPr>
            <w:r>
              <w:rPr>
                <w:rFonts w:hint="eastAsia" w:cs="Courier New" w:asciiTheme="minorEastAsia" w:hAnsiTheme="minorEastAsia" w:eastAsiaTheme="minorEastAsia"/>
                <w:szCs w:val="21"/>
              </w:rPr>
              <w:t>调查研究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spacing w:line="400" w:lineRule="exact"/>
              <w:jc w:val="center"/>
              <w:rPr>
                <w:rFonts w:ascii="Times New Roman" w:hAnsi="Times New Roman" w:eastAsia="宋体" w:cs="Times New Roman"/>
                <w:kern w:val="2"/>
                <w:sz w:val="21"/>
                <w:szCs w:val="24"/>
                <w:lang w:val="en-US" w:eastAsia="zh-CN" w:bidi="ar-SA"/>
              </w:rPr>
            </w:pPr>
            <w:r>
              <w:rPr>
                <w:rFonts w:hint="eastAsia" w:hAnsi="宋体"/>
              </w:rPr>
              <w:t>佟伟</w:t>
            </w:r>
          </w:p>
        </w:tc>
        <w:tc>
          <w:tcPr>
            <w:tcW w:w="1163" w:type="dxa"/>
            <w:vAlign w:val="top"/>
          </w:tcPr>
          <w:p>
            <w:pPr>
              <w:spacing w:line="400" w:lineRule="exact"/>
              <w:jc w:val="center"/>
              <w:rPr>
                <w:rFonts w:ascii="宋体" w:hAnsi="宋体" w:eastAsia="宋体" w:cs="Courier New"/>
                <w:kern w:val="2"/>
                <w:sz w:val="21"/>
                <w:szCs w:val="21"/>
                <w:lang w:val="en-US" w:eastAsia="zh-CN" w:bidi="ar-SA"/>
              </w:rPr>
            </w:pPr>
            <w:r>
              <w:rPr>
                <w:rFonts w:hint="eastAsia" w:ascii="宋体" w:hAnsi="宋体" w:cs="Courier New"/>
                <w:szCs w:val="21"/>
              </w:rPr>
              <w:t>男</w:t>
            </w:r>
          </w:p>
        </w:tc>
        <w:tc>
          <w:tcPr>
            <w:tcW w:w="1701" w:type="dxa"/>
            <w:vAlign w:val="top"/>
          </w:tcPr>
          <w:p>
            <w:pPr>
              <w:spacing w:line="400" w:lineRule="exact"/>
              <w:jc w:val="center"/>
              <w:rPr>
                <w:rFonts w:ascii="宋体" w:hAnsi="宋体" w:eastAsia="宋体" w:cs="Courier New"/>
                <w:kern w:val="2"/>
                <w:sz w:val="21"/>
                <w:szCs w:val="21"/>
                <w:lang w:val="en-US" w:eastAsia="zh-CN" w:bidi="ar-SA"/>
              </w:rPr>
            </w:pPr>
            <w:r>
              <w:rPr>
                <w:rFonts w:hint="eastAsia" w:ascii="宋体" w:hAnsi="宋体" w:cs="Courier New"/>
                <w:szCs w:val="21"/>
              </w:rPr>
              <w:t>副研究员</w:t>
            </w:r>
          </w:p>
        </w:tc>
        <w:tc>
          <w:tcPr>
            <w:tcW w:w="3302" w:type="dxa"/>
            <w:vAlign w:val="top"/>
          </w:tcPr>
          <w:p>
            <w:pPr>
              <w:spacing w:line="400" w:lineRule="exact"/>
              <w:jc w:val="center"/>
              <w:rPr>
                <w:rFonts w:ascii="仿宋" w:hAnsi="仿宋" w:eastAsia="仿宋" w:cs="Courier New"/>
                <w:kern w:val="2"/>
                <w:sz w:val="24"/>
                <w:szCs w:val="24"/>
                <w:lang w:val="en-US" w:eastAsia="zh-CN" w:bidi="ar-SA"/>
              </w:rPr>
            </w:pPr>
            <w:r>
              <w:rPr>
                <w:rFonts w:hint="eastAsia"/>
              </w:rPr>
              <w:t>中国农业科学院果树研究所</w:t>
            </w:r>
          </w:p>
        </w:tc>
        <w:tc>
          <w:tcPr>
            <w:tcW w:w="1263" w:type="dxa"/>
            <w:vAlign w:val="top"/>
          </w:tcPr>
          <w:p>
            <w:pPr>
              <w:spacing w:line="400" w:lineRule="exact"/>
              <w:jc w:val="center"/>
              <w:rPr>
                <w:rFonts w:cs="Courier New" w:asciiTheme="minorEastAsia" w:hAnsiTheme="minorEastAsia" w:eastAsiaTheme="minorEastAsia"/>
                <w:kern w:val="2"/>
                <w:sz w:val="21"/>
                <w:szCs w:val="21"/>
                <w:lang w:val="en-US" w:eastAsia="zh-CN" w:bidi="ar-SA"/>
              </w:rPr>
            </w:pPr>
            <w:r>
              <w:rPr>
                <w:rFonts w:hint="eastAsia" w:cs="Courier New" w:asciiTheme="minorEastAsia" w:hAnsiTheme="minorEastAsia" w:eastAsiaTheme="minorEastAsia"/>
                <w:szCs w:val="21"/>
              </w:rPr>
              <w:t>数据分析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spacing w:line="400" w:lineRule="exact"/>
              <w:jc w:val="center"/>
              <w:rPr>
                <w:rFonts w:ascii="Times New Roman" w:hAnsi="宋体" w:eastAsia="宋体" w:cs="Times New Roman"/>
                <w:kern w:val="2"/>
                <w:sz w:val="21"/>
                <w:szCs w:val="24"/>
                <w:lang w:val="en-US" w:eastAsia="zh-CN" w:bidi="ar-SA"/>
              </w:rPr>
            </w:pPr>
            <w:r>
              <w:rPr>
                <w:rFonts w:hint="eastAsia" w:hAnsi="宋体"/>
              </w:rPr>
              <w:t>曹阳</w:t>
            </w:r>
          </w:p>
        </w:tc>
        <w:tc>
          <w:tcPr>
            <w:tcW w:w="1163" w:type="dxa"/>
            <w:vAlign w:val="top"/>
          </w:tcPr>
          <w:p>
            <w:pPr>
              <w:spacing w:line="400" w:lineRule="exact"/>
              <w:jc w:val="center"/>
              <w:rPr>
                <w:rFonts w:ascii="宋体" w:hAnsi="宋体" w:eastAsia="宋体" w:cs="Courier New"/>
                <w:kern w:val="2"/>
                <w:sz w:val="21"/>
                <w:szCs w:val="21"/>
                <w:lang w:val="en-US" w:eastAsia="zh-CN" w:bidi="ar-SA"/>
              </w:rPr>
            </w:pPr>
            <w:r>
              <w:rPr>
                <w:rFonts w:hint="eastAsia" w:ascii="宋体" w:hAnsi="宋体" w:cs="Courier New"/>
                <w:szCs w:val="21"/>
              </w:rPr>
              <w:t>女</w:t>
            </w:r>
          </w:p>
        </w:tc>
        <w:tc>
          <w:tcPr>
            <w:tcW w:w="1701" w:type="dxa"/>
            <w:vAlign w:val="top"/>
          </w:tcPr>
          <w:p>
            <w:pPr>
              <w:spacing w:line="400" w:lineRule="exact"/>
              <w:jc w:val="center"/>
              <w:rPr>
                <w:rFonts w:ascii="宋体" w:hAnsi="宋体" w:eastAsia="宋体" w:cs="Courier New"/>
                <w:kern w:val="2"/>
                <w:sz w:val="21"/>
                <w:szCs w:val="21"/>
                <w:lang w:val="en-US" w:eastAsia="zh-CN" w:bidi="ar-SA"/>
              </w:rPr>
            </w:pPr>
            <w:r>
              <w:rPr>
                <w:rFonts w:hint="eastAsia" w:ascii="宋体" w:hAnsi="宋体" w:cs="Courier New"/>
                <w:szCs w:val="21"/>
              </w:rPr>
              <w:t>助理研究员</w:t>
            </w:r>
          </w:p>
        </w:tc>
        <w:tc>
          <w:tcPr>
            <w:tcW w:w="3302" w:type="dxa"/>
            <w:vAlign w:val="top"/>
          </w:tcPr>
          <w:p>
            <w:pPr>
              <w:spacing w:line="400" w:lineRule="exact"/>
              <w:jc w:val="center"/>
              <w:rPr>
                <w:rFonts w:ascii="仿宋" w:hAnsi="仿宋" w:eastAsia="仿宋" w:cs="Courier New"/>
                <w:kern w:val="2"/>
                <w:sz w:val="24"/>
                <w:szCs w:val="24"/>
                <w:lang w:val="en-US" w:eastAsia="zh-CN" w:bidi="ar-SA"/>
              </w:rPr>
            </w:pPr>
            <w:r>
              <w:rPr>
                <w:rFonts w:hint="eastAsia"/>
              </w:rPr>
              <w:t>山西农业大学果树研究所</w:t>
            </w:r>
          </w:p>
        </w:tc>
        <w:tc>
          <w:tcPr>
            <w:tcW w:w="1263" w:type="dxa"/>
            <w:vAlign w:val="top"/>
          </w:tcPr>
          <w:p>
            <w:pPr>
              <w:spacing w:line="400" w:lineRule="exact"/>
              <w:jc w:val="center"/>
              <w:rPr>
                <w:rFonts w:cs="Courier New" w:asciiTheme="minorEastAsia" w:hAnsiTheme="minorEastAsia" w:eastAsiaTheme="minorEastAsia"/>
                <w:kern w:val="2"/>
                <w:sz w:val="21"/>
                <w:szCs w:val="21"/>
                <w:lang w:val="en-US" w:eastAsia="zh-CN" w:bidi="ar-SA"/>
              </w:rPr>
            </w:pPr>
            <w:r>
              <w:rPr>
                <w:rFonts w:hint="eastAsia" w:cs="Courier New" w:asciiTheme="minorEastAsia" w:hAnsiTheme="minorEastAsia" w:eastAsiaTheme="minorEastAsia"/>
                <w:szCs w:val="21"/>
              </w:rPr>
              <w:t>数据分析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400" w:lineRule="exact"/>
              <w:jc w:val="center"/>
              <w:rPr>
                <w:rFonts w:hAnsi="宋体"/>
              </w:rPr>
            </w:pPr>
            <w:r>
              <w:rPr>
                <w:rFonts w:hint="eastAsia" w:hAnsi="宋体"/>
              </w:rPr>
              <w:t>朱凯</w:t>
            </w:r>
          </w:p>
        </w:tc>
        <w:tc>
          <w:tcPr>
            <w:tcW w:w="1163" w:type="dxa"/>
          </w:tcPr>
          <w:p>
            <w:pPr>
              <w:spacing w:line="400" w:lineRule="exact"/>
              <w:jc w:val="center"/>
              <w:rPr>
                <w:rFonts w:ascii="宋体" w:hAnsi="宋体" w:cs="Courier New"/>
                <w:szCs w:val="21"/>
              </w:rPr>
            </w:pPr>
            <w:r>
              <w:rPr>
                <w:rFonts w:hint="eastAsia" w:ascii="宋体" w:hAnsi="宋体" w:cs="Courier New"/>
                <w:szCs w:val="21"/>
              </w:rPr>
              <w:t>男</w:t>
            </w:r>
          </w:p>
        </w:tc>
        <w:tc>
          <w:tcPr>
            <w:tcW w:w="1701" w:type="dxa"/>
          </w:tcPr>
          <w:p>
            <w:pPr>
              <w:spacing w:line="400" w:lineRule="exact"/>
              <w:jc w:val="center"/>
              <w:rPr>
                <w:rFonts w:ascii="宋体" w:hAnsi="宋体" w:cs="Courier New"/>
                <w:szCs w:val="21"/>
              </w:rPr>
            </w:pPr>
            <w:r>
              <w:rPr>
                <w:rFonts w:hint="eastAsia" w:ascii="宋体" w:hAnsi="宋体" w:cs="Courier New"/>
                <w:szCs w:val="21"/>
              </w:rPr>
              <w:t>助理研究员</w:t>
            </w:r>
          </w:p>
        </w:tc>
        <w:tc>
          <w:tcPr>
            <w:tcW w:w="3302" w:type="dxa"/>
          </w:tcPr>
          <w:p>
            <w:pPr>
              <w:spacing w:line="400" w:lineRule="exact"/>
              <w:jc w:val="center"/>
              <w:rPr>
                <w:rFonts w:ascii="仿宋" w:hAnsi="仿宋" w:eastAsia="仿宋" w:cs="Courier New"/>
                <w:sz w:val="24"/>
              </w:rPr>
            </w:pPr>
            <w:r>
              <w:rPr>
                <w:rFonts w:hint="eastAsia"/>
              </w:rPr>
              <w:t>山西农业大学果树研究所</w:t>
            </w:r>
          </w:p>
        </w:tc>
        <w:tc>
          <w:tcPr>
            <w:tcW w:w="1263" w:type="dxa"/>
          </w:tcPr>
          <w:p>
            <w:pPr>
              <w:spacing w:line="400" w:lineRule="exact"/>
              <w:jc w:val="center"/>
              <w:rPr>
                <w:rFonts w:cs="Courier New" w:asciiTheme="minorEastAsia" w:hAnsiTheme="minorEastAsia" w:eastAsiaTheme="minorEastAsia"/>
                <w:szCs w:val="21"/>
              </w:rPr>
            </w:pPr>
            <w:r>
              <w:rPr>
                <w:rFonts w:hint="eastAsia" w:cs="Courier New" w:asciiTheme="minorEastAsia" w:hAnsiTheme="minorEastAsia" w:eastAsiaTheme="minorEastAsia"/>
                <w:szCs w:val="21"/>
              </w:rPr>
              <w:t>数据分析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400" w:lineRule="exact"/>
              <w:jc w:val="center"/>
              <w:rPr>
                <w:rFonts w:hAnsi="宋体"/>
              </w:rPr>
            </w:pPr>
            <w:r>
              <w:rPr>
                <w:rFonts w:hint="eastAsia" w:hAnsi="宋体"/>
              </w:rPr>
              <w:t>梁海刚</w:t>
            </w:r>
          </w:p>
        </w:tc>
        <w:tc>
          <w:tcPr>
            <w:tcW w:w="1163" w:type="dxa"/>
          </w:tcPr>
          <w:p>
            <w:pPr>
              <w:spacing w:line="400" w:lineRule="exact"/>
              <w:jc w:val="center"/>
              <w:rPr>
                <w:rFonts w:ascii="宋体" w:hAnsi="宋体" w:cs="Courier New"/>
                <w:szCs w:val="21"/>
              </w:rPr>
            </w:pPr>
            <w:r>
              <w:rPr>
                <w:rFonts w:hint="eastAsia" w:ascii="宋体" w:hAnsi="宋体" w:cs="Courier New"/>
                <w:szCs w:val="21"/>
              </w:rPr>
              <w:t>男</w:t>
            </w:r>
          </w:p>
        </w:tc>
        <w:tc>
          <w:tcPr>
            <w:tcW w:w="1701" w:type="dxa"/>
          </w:tcPr>
          <w:p>
            <w:pPr>
              <w:spacing w:line="400" w:lineRule="exact"/>
              <w:jc w:val="center"/>
              <w:rPr>
                <w:rFonts w:ascii="宋体" w:hAnsi="宋体" w:cs="Courier New"/>
                <w:szCs w:val="21"/>
              </w:rPr>
            </w:pPr>
            <w:r>
              <w:rPr>
                <w:rFonts w:hint="eastAsia" w:ascii="宋体" w:hAnsi="宋体" w:cs="Courier New"/>
                <w:szCs w:val="21"/>
              </w:rPr>
              <w:t>技师</w:t>
            </w:r>
          </w:p>
        </w:tc>
        <w:tc>
          <w:tcPr>
            <w:tcW w:w="3302" w:type="dxa"/>
          </w:tcPr>
          <w:p>
            <w:pPr>
              <w:spacing w:line="400" w:lineRule="exact"/>
              <w:jc w:val="center"/>
              <w:rPr>
                <w:rFonts w:ascii="仿宋" w:hAnsi="仿宋" w:eastAsia="仿宋" w:cs="Courier New"/>
                <w:sz w:val="24"/>
              </w:rPr>
            </w:pPr>
            <w:r>
              <w:rPr>
                <w:rFonts w:hint="eastAsia"/>
              </w:rPr>
              <w:t>山西农业大学果树研究所</w:t>
            </w:r>
          </w:p>
        </w:tc>
        <w:tc>
          <w:tcPr>
            <w:tcW w:w="1263" w:type="dxa"/>
          </w:tcPr>
          <w:p>
            <w:pPr>
              <w:spacing w:line="400" w:lineRule="exact"/>
              <w:jc w:val="center"/>
              <w:rPr>
                <w:rFonts w:cs="Courier New" w:asciiTheme="minorEastAsia" w:hAnsiTheme="minorEastAsia" w:eastAsiaTheme="minorEastAsia"/>
                <w:szCs w:val="21"/>
              </w:rPr>
            </w:pPr>
            <w:r>
              <w:rPr>
                <w:rFonts w:hint="eastAsia" w:cs="Courier New" w:asciiTheme="minorEastAsia" w:hAnsiTheme="minorEastAsia" w:eastAsiaTheme="minorEastAsia"/>
                <w:szCs w:val="21"/>
              </w:rPr>
              <w:t>调查研究</w:t>
            </w:r>
          </w:p>
        </w:tc>
      </w:tr>
    </w:tbl>
    <w:p>
      <w:pPr>
        <w:spacing w:line="360" w:lineRule="auto"/>
        <w:ind w:firstLine="480" w:firstLineChars="200"/>
        <w:outlineLvl w:val="0"/>
        <w:rPr>
          <w:rFonts w:ascii="楷体" w:hAnsi="楷体" w:eastAsia="楷体" w:cs="Courier New"/>
          <w:sz w:val="28"/>
          <w:szCs w:val="28"/>
        </w:rPr>
      </w:pPr>
      <w:r>
        <w:rPr>
          <w:rFonts w:ascii="黑体" w:eastAsia="黑体"/>
          <w:sz w:val="24"/>
        </w:rPr>
        <w:t>二、</w:t>
      </w:r>
      <w:r>
        <w:rPr>
          <w:rFonts w:hint="eastAsia" w:ascii="黑体" w:eastAsia="黑体"/>
          <w:sz w:val="24"/>
        </w:rPr>
        <w:t>修</w:t>
      </w:r>
      <w:r>
        <w:rPr>
          <w:rFonts w:ascii="黑体" w:eastAsia="黑体"/>
          <w:sz w:val="24"/>
        </w:rPr>
        <w:t>订标准的必要性和意义</w:t>
      </w:r>
    </w:p>
    <w:p>
      <w:pPr>
        <w:spacing w:line="480" w:lineRule="exact"/>
        <w:ind w:firstLine="480" w:firstLineChars="200"/>
        <w:rPr>
          <w:rFonts w:eastAsia="仿宋_GB2312"/>
          <w:sz w:val="24"/>
        </w:rPr>
      </w:pPr>
      <w:r>
        <w:rPr>
          <w:rFonts w:eastAsia="仿宋_GB2312"/>
          <w:sz w:val="24"/>
        </w:rPr>
        <w:t>玉露香梨（Pyrus sinkiangensis ‘Yuluxiangli’）因其肉质细嫩、皮薄多汁、香甜爽口而深受消费者喜欢，被认为是目前国内外综合性状较优良的库尔勒香梨型中熟梨新品种，目前已出口至美国并得到国际市场的认可。近年来在山西等地大面积推广，推广面积达15万亩，结果量逐年增加，贮藏量也呈迅猛增长之势。作为梨优新品种，生产上常因贮藏技术不当造成果实采后品质不佳、冷藏后果皮变黄、品质劣变加速、果实腐烂和磕碰伤严重等现象。搞好玉露香梨贮藏技术对延长鲜果贮藏期、增大运输半径、减少损失，调节淡旺季矛盾，保证周年供应具有重要意义。果品贮藏不仅是保证果树种植产业迅速发展的重要环节，而且对于促进果品市场与流通也具有重要意义。截止目前，玉露香梨贮藏保鲜技术在我省乃至全国均属空白，因此，我省发展玉露香梨的当务之急就是研发一套与玉露香梨相适宜的贮藏技术规程。通过玉露香梨贮藏技术规程的制定，解决因采收过早造成的品质下降，采收过晚造成的贮藏期缩短等问题，并根据不同贮藏期限确定不同贮藏温度，减少电费的投入。同时，1-MCP保鲜技术和小包装自发气调技术在玉露香梨上的规范化应用，可有效延长玉露香梨果实冷藏期限达1～2个月，常温7～10天，并能较好地保持果实营养品质。玉露香梨贮藏技术规程的制定，对延长玉露香梨贮藏期，保证玉露香梨贮藏期间果品品质，具有重要意义。</w:t>
      </w:r>
    </w:p>
    <w:p>
      <w:pPr>
        <w:spacing w:line="360" w:lineRule="auto"/>
        <w:ind w:firstLine="480" w:firstLineChars="200"/>
        <w:outlineLvl w:val="0"/>
        <w:rPr>
          <w:rFonts w:ascii="黑体" w:eastAsia="黑体"/>
          <w:sz w:val="24"/>
        </w:rPr>
      </w:pPr>
      <w:r>
        <w:rPr>
          <w:rFonts w:ascii="黑体" w:eastAsia="黑体"/>
          <w:sz w:val="24"/>
        </w:rPr>
        <w:t>三、主要</w:t>
      </w:r>
      <w:r>
        <w:rPr>
          <w:rFonts w:hint="eastAsia" w:ascii="黑体" w:eastAsia="黑体"/>
          <w:sz w:val="24"/>
        </w:rPr>
        <w:t>修订</w:t>
      </w:r>
      <w:r>
        <w:rPr>
          <w:rFonts w:ascii="黑体" w:eastAsia="黑体"/>
          <w:sz w:val="24"/>
        </w:rPr>
        <w:t>工作过程</w:t>
      </w:r>
    </w:p>
    <w:p>
      <w:pPr>
        <w:spacing w:line="360" w:lineRule="auto"/>
        <w:ind w:left="465"/>
        <w:outlineLvl w:val="1"/>
        <w:rPr>
          <w:rFonts w:ascii="楷体_GB2312" w:eastAsia="楷体_GB2312"/>
          <w:sz w:val="24"/>
        </w:rPr>
      </w:pPr>
      <w:r>
        <w:rPr>
          <w:rFonts w:hint="eastAsia" w:ascii="楷体_GB2312" w:eastAsia="楷体_GB2312"/>
          <w:sz w:val="24"/>
        </w:rPr>
        <w:t>1成立标准修订工作组</w:t>
      </w:r>
    </w:p>
    <w:p>
      <w:pPr>
        <w:spacing w:line="540" w:lineRule="exact"/>
        <w:ind w:firstLine="480" w:firstLineChars="200"/>
        <w:rPr>
          <w:rFonts w:eastAsia="仿宋_GB2312"/>
          <w:bCs/>
          <w:sz w:val="24"/>
        </w:rPr>
      </w:pPr>
      <w:r>
        <w:rPr>
          <w:rFonts w:eastAsia="仿宋_GB2312"/>
          <w:bCs/>
          <w:sz w:val="24"/>
        </w:rPr>
        <w:t>规程批准</w:t>
      </w:r>
      <w:r>
        <w:rPr>
          <w:rFonts w:hint="eastAsia" w:eastAsia="仿宋_GB2312"/>
          <w:bCs/>
          <w:sz w:val="24"/>
        </w:rPr>
        <w:t>修订</w:t>
      </w:r>
      <w:r>
        <w:rPr>
          <w:rFonts w:eastAsia="仿宋_GB2312"/>
          <w:bCs/>
          <w:sz w:val="24"/>
        </w:rPr>
        <w:t>后，山西农业大学果树研究所抽调相关技术人员组成</w:t>
      </w:r>
      <w:r>
        <w:rPr>
          <w:rFonts w:hint="eastAsia" w:eastAsia="仿宋_GB2312"/>
          <w:bCs/>
          <w:sz w:val="24"/>
        </w:rPr>
        <w:t>标准修订</w:t>
      </w:r>
      <w:r>
        <w:rPr>
          <w:rFonts w:eastAsia="仿宋_GB2312"/>
          <w:bCs/>
          <w:sz w:val="24"/>
        </w:rPr>
        <w:t>小组。</w:t>
      </w:r>
      <w:r>
        <w:rPr>
          <w:rFonts w:hint="eastAsia" w:eastAsia="仿宋_GB2312"/>
          <w:bCs/>
          <w:sz w:val="24"/>
        </w:rPr>
        <w:t>修订</w:t>
      </w:r>
      <w:r>
        <w:rPr>
          <w:rFonts w:eastAsia="仿宋_GB2312"/>
          <w:bCs/>
          <w:sz w:val="24"/>
        </w:rPr>
        <w:t>小组成员均具备良好的科研能力及较好的文字功底，了解标准制定的相关要求，逻辑严密，思路清晰。</w:t>
      </w:r>
      <w:r>
        <w:rPr>
          <w:rFonts w:hint="eastAsia" w:eastAsia="仿宋_GB2312"/>
          <w:bCs/>
          <w:sz w:val="24"/>
        </w:rPr>
        <w:t>修订</w:t>
      </w:r>
      <w:r>
        <w:rPr>
          <w:rFonts w:eastAsia="仿宋_GB2312"/>
          <w:bCs/>
          <w:sz w:val="24"/>
        </w:rPr>
        <w:t>小组成员分工明确，密切协作，能够保证本规程的质量与水平。</w:t>
      </w:r>
    </w:p>
    <w:p>
      <w:pPr>
        <w:spacing w:line="360" w:lineRule="auto"/>
        <w:ind w:left="465"/>
        <w:outlineLvl w:val="1"/>
        <w:rPr>
          <w:rFonts w:ascii="楷体_GB2312" w:eastAsia="楷体_GB2312"/>
          <w:sz w:val="24"/>
        </w:rPr>
      </w:pPr>
      <w:r>
        <w:rPr>
          <w:rFonts w:hint="eastAsia" w:ascii="楷体_GB2312" w:eastAsia="楷体_GB2312"/>
          <w:sz w:val="24"/>
        </w:rPr>
        <w:t>2调研考察</w:t>
      </w:r>
    </w:p>
    <w:p>
      <w:pPr>
        <w:spacing w:line="540" w:lineRule="exact"/>
        <w:ind w:firstLine="480" w:firstLineChars="200"/>
        <w:rPr>
          <w:rFonts w:eastAsia="仿宋_GB2312"/>
          <w:bCs/>
          <w:sz w:val="24"/>
        </w:rPr>
      </w:pPr>
      <w:r>
        <w:rPr>
          <w:rFonts w:hint="eastAsia" w:eastAsia="仿宋_GB2312"/>
          <w:bCs/>
          <w:sz w:val="24"/>
        </w:rPr>
        <w:t>修订</w:t>
      </w:r>
      <w:r>
        <w:rPr>
          <w:rFonts w:eastAsia="仿宋_GB2312"/>
          <w:bCs/>
          <w:sz w:val="24"/>
        </w:rPr>
        <w:t>小组在整理原有工作经验和试验数据的基础上，又先后赴运城、</w:t>
      </w:r>
      <w:r>
        <w:rPr>
          <w:rFonts w:hint="eastAsia" w:eastAsia="仿宋_GB2312"/>
          <w:bCs/>
          <w:sz w:val="24"/>
        </w:rPr>
        <w:t>临汾</w:t>
      </w:r>
      <w:r>
        <w:rPr>
          <w:rFonts w:eastAsia="仿宋_GB2312"/>
          <w:bCs/>
          <w:sz w:val="24"/>
        </w:rPr>
        <w:t>、晋中</w:t>
      </w:r>
      <w:r>
        <w:rPr>
          <w:rFonts w:hint="eastAsia" w:eastAsia="仿宋_GB2312"/>
          <w:bCs/>
          <w:sz w:val="24"/>
        </w:rPr>
        <w:t>、原平</w:t>
      </w:r>
      <w:r>
        <w:rPr>
          <w:rFonts w:eastAsia="仿宋_GB2312"/>
          <w:bCs/>
          <w:sz w:val="24"/>
        </w:rPr>
        <w:t>等我省主要</w:t>
      </w:r>
      <w:r>
        <w:rPr>
          <w:rFonts w:hint="eastAsia" w:eastAsia="仿宋_GB2312"/>
          <w:bCs/>
          <w:sz w:val="24"/>
        </w:rPr>
        <w:t>玉露香梨</w:t>
      </w:r>
      <w:r>
        <w:rPr>
          <w:rFonts w:eastAsia="仿宋_GB2312"/>
          <w:bCs/>
          <w:sz w:val="24"/>
        </w:rPr>
        <w:t>产区进行</w:t>
      </w:r>
      <w:r>
        <w:rPr>
          <w:rFonts w:hint="eastAsia" w:eastAsia="仿宋_GB2312"/>
          <w:bCs/>
          <w:sz w:val="24"/>
        </w:rPr>
        <w:t>玉露香梨贮藏</w:t>
      </w:r>
      <w:r>
        <w:rPr>
          <w:rFonts w:eastAsia="仿宋_GB2312"/>
          <w:bCs/>
          <w:sz w:val="24"/>
        </w:rPr>
        <w:t>情况调研，</w:t>
      </w:r>
      <w:r>
        <w:rPr>
          <w:rFonts w:hint="eastAsia" w:eastAsia="仿宋_GB2312"/>
          <w:bCs/>
          <w:sz w:val="24"/>
        </w:rPr>
        <w:t>制定了玉露香梨贮藏保鲜技术指南，并将该指南在贮藏企业应用示范，对试验结果进行重复性验证进一步优化各项指标。</w:t>
      </w:r>
      <w:r>
        <w:rPr>
          <w:rFonts w:eastAsia="仿宋_GB2312"/>
          <w:bCs/>
          <w:sz w:val="24"/>
        </w:rPr>
        <w:t>与多个</w:t>
      </w:r>
      <w:r>
        <w:rPr>
          <w:rFonts w:hint="eastAsia" w:eastAsia="仿宋_GB2312"/>
          <w:bCs/>
          <w:sz w:val="24"/>
        </w:rPr>
        <w:t>有贮藏条件的企业</w:t>
      </w:r>
      <w:r>
        <w:rPr>
          <w:rFonts w:eastAsia="仿宋_GB2312"/>
          <w:bCs/>
          <w:sz w:val="24"/>
        </w:rPr>
        <w:t>或合作社沟通交流，了解生产实际问题，保证</w:t>
      </w:r>
      <w:r>
        <w:rPr>
          <w:rFonts w:hint="eastAsia" w:eastAsia="仿宋_GB2312"/>
          <w:bCs/>
          <w:sz w:val="24"/>
        </w:rPr>
        <w:t>修订</w:t>
      </w:r>
      <w:r>
        <w:rPr>
          <w:rFonts w:eastAsia="仿宋_GB2312"/>
          <w:bCs/>
          <w:sz w:val="24"/>
        </w:rPr>
        <w:t>的技术规程科学合理、操作性强。</w:t>
      </w:r>
    </w:p>
    <w:p>
      <w:pPr>
        <w:spacing w:line="360" w:lineRule="auto"/>
        <w:ind w:left="465"/>
        <w:outlineLvl w:val="1"/>
        <w:rPr>
          <w:rFonts w:ascii="楷体_GB2312" w:eastAsia="楷体_GB2312"/>
          <w:sz w:val="24"/>
        </w:rPr>
      </w:pPr>
      <w:r>
        <w:rPr>
          <w:rFonts w:hint="eastAsia" w:ascii="楷体_GB2312" w:eastAsia="楷体_GB2312"/>
          <w:sz w:val="24"/>
        </w:rPr>
        <w:t>3收集资料</w:t>
      </w:r>
    </w:p>
    <w:p>
      <w:pPr>
        <w:spacing w:line="540" w:lineRule="exact"/>
        <w:ind w:firstLine="480" w:firstLineChars="200"/>
        <w:rPr>
          <w:rFonts w:eastAsia="仿宋_GB2312"/>
          <w:bCs/>
          <w:sz w:val="24"/>
        </w:rPr>
      </w:pPr>
      <w:r>
        <w:rPr>
          <w:rFonts w:eastAsia="仿宋_GB2312"/>
          <w:bCs/>
          <w:sz w:val="24"/>
        </w:rPr>
        <w:t>本规程</w:t>
      </w:r>
      <w:r>
        <w:rPr>
          <w:rFonts w:hint="eastAsia" w:eastAsia="仿宋_GB2312"/>
          <w:bCs/>
          <w:sz w:val="24"/>
        </w:rPr>
        <w:t>修订</w:t>
      </w:r>
      <w:r>
        <w:rPr>
          <w:rFonts w:eastAsia="仿宋_GB2312"/>
          <w:bCs/>
          <w:sz w:val="24"/>
        </w:rPr>
        <w:t>过程中，</w:t>
      </w:r>
      <w:r>
        <w:rPr>
          <w:rFonts w:hint="eastAsia" w:eastAsia="仿宋_GB2312"/>
          <w:bCs/>
          <w:sz w:val="24"/>
        </w:rPr>
        <w:t>修订</w:t>
      </w:r>
      <w:r>
        <w:rPr>
          <w:rFonts w:eastAsia="仿宋_GB2312"/>
          <w:bCs/>
          <w:sz w:val="24"/>
        </w:rPr>
        <w:t>小组</w:t>
      </w:r>
      <w:r>
        <w:rPr>
          <w:rFonts w:hint="eastAsia" w:eastAsia="仿宋_GB2312"/>
          <w:bCs/>
          <w:sz w:val="24"/>
        </w:rPr>
        <w:t>广泛查阅和收集国内外梨贮藏技术相关标准和文献资料，</w:t>
      </w:r>
      <w:r>
        <w:rPr>
          <w:rFonts w:eastAsia="仿宋_GB2312"/>
          <w:bCs/>
          <w:sz w:val="24"/>
        </w:rPr>
        <w:t>包括《</w:t>
      </w:r>
      <w:r>
        <w:rPr>
          <w:rFonts w:hint="eastAsia" w:eastAsia="仿宋_GB2312"/>
          <w:bCs/>
          <w:sz w:val="24"/>
        </w:rPr>
        <w:t>梨志</w:t>
      </w:r>
      <w:r>
        <w:rPr>
          <w:rFonts w:eastAsia="仿宋_GB2312"/>
          <w:bCs/>
          <w:sz w:val="24"/>
        </w:rPr>
        <w:t>》《果树</w:t>
      </w:r>
      <w:r>
        <w:rPr>
          <w:rFonts w:hint="eastAsia" w:eastAsia="仿宋_GB2312"/>
          <w:bCs/>
          <w:sz w:val="24"/>
        </w:rPr>
        <w:t>栽培</w:t>
      </w:r>
      <w:r>
        <w:rPr>
          <w:rFonts w:eastAsia="仿宋_GB2312"/>
          <w:bCs/>
          <w:sz w:val="24"/>
        </w:rPr>
        <w:t>学》《</w:t>
      </w:r>
      <w:r>
        <w:rPr>
          <w:rFonts w:hint="eastAsia" w:eastAsia="仿宋_GB2312"/>
          <w:bCs/>
          <w:sz w:val="24"/>
        </w:rPr>
        <w:t>农产品贮藏与加工</w:t>
      </w:r>
      <w:r>
        <w:rPr>
          <w:rFonts w:eastAsia="仿宋_GB2312"/>
          <w:bCs/>
          <w:sz w:val="24"/>
        </w:rPr>
        <w:t>》等书籍和文献；GB/T 1.1-2020《标准化工作导则第1部分：标准的结构和编写》、GB/T 8559</w:t>
      </w:r>
      <w:r>
        <w:rPr>
          <w:rFonts w:hint="eastAsia" w:eastAsia="仿宋_GB2312"/>
          <w:bCs/>
          <w:sz w:val="24"/>
        </w:rPr>
        <w:t>《</w:t>
      </w:r>
      <w:r>
        <w:rPr>
          <w:rFonts w:eastAsia="仿宋_GB2312"/>
          <w:bCs/>
          <w:sz w:val="24"/>
        </w:rPr>
        <w:t>苹果冷藏技术</w:t>
      </w:r>
      <w:r>
        <w:rPr>
          <w:rFonts w:hint="eastAsia" w:eastAsia="仿宋_GB2312"/>
          <w:bCs/>
          <w:sz w:val="24"/>
        </w:rPr>
        <w:t>》和GB</w:t>
      </w:r>
      <w:r>
        <w:rPr>
          <w:rFonts w:eastAsia="仿宋_GB2312"/>
          <w:bCs/>
          <w:sz w:val="24"/>
        </w:rPr>
        <w:t>/T 10650</w:t>
      </w:r>
      <w:r>
        <w:rPr>
          <w:rFonts w:hint="eastAsia" w:eastAsia="仿宋_GB2312"/>
          <w:bCs/>
          <w:sz w:val="24"/>
        </w:rPr>
        <w:t>《鲜梨》</w:t>
      </w:r>
      <w:r>
        <w:rPr>
          <w:rFonts w:eastAsia="仿宋_GB2312"/>
          <w:bCs/>
          <w:sz w:val="24"/>
        </w:rPr>
        <w:t>等国家标准；NY/</w:t>
      </w:r>
      <w:r>
        <w:rPr>
          <w:rFonts w:hint="eastAsia" w:eastAsia="仿宋_GB2312"/>
          <w:bCs/>
          <w:sz w:val="24"/>
        </w:rPr>
        <w:t>T</w:t>
      </w:r>
      <w:r>
        <w:rPr>
          <w:rFonts w:hint="eastAsia" w:eastAsia="仿宋_GB2312"/>
          <w:bCs/>
          <w:sz w:val="24"/>
          <w:lang w:val="en-US" w:eastAsia="zh-CN"/>
        </w:rPr>
        <w:t xml:space="preserve"> </w:t>
      </w:r>
      <w:r>
        <w:rPr>
          <w:rFonts w:eastAsia="仿宋_GB2312"/>
          <w:bCs/>
          <w:sz w:val="24"/>
        </w:rPr>
        <w:t>585</w:t>
      </w:r>
      <w:r>
        <w:rPr>
          <w:rFonts w:hint="eastAsia" w:eastAsia="仿宋_GB2312"/>
          <w:bCs/>
          <w:sz w:val="24"/>
        </w:rPr>
        <w:t>《库尔勒香梨》、</w:t>
      </w:r>
      <w:r>
        <w:rPr>
          <w:rFonts w:eastAsia="仿宋_GB2312"/>
          <w:bCs/>
          <w:sz w:val="24"/>
        </w:rPr>
        <w:t>NY/T 1198</w:t>
      </w:r>
      <w:r>
        <w:rPr>
          <w:rFonts w:hint="eastAsia" w:eastAsia="仿宋_GB2312"/>
          <w:bCs/>
          <w:sz w:val="24"/>
        </w:rPr>
        <w:t>《</w:t>
      </w:r>
      <w:r>
        <w:rPr>
          <w:rFonts w:eastAsia="仿宋_GB2312"/>
          <w:bCs/>
          <w:sz w:val="24"/>
        </w:rPr>
        <w:t>梨贮运技术规范</w:t>
      </w:r>
      <w:r>
        <w:rPr>
          <w:rFonts w:hint="eastAsia" w:eastAsia="仿宋_GB2312"/>
          <w:bCs/>
          <w:sz w:val="24"/>
        </w:rPr>
        <w:t>》</w:t>
      </w:r>
      <w:r>
        <w:rPr>
          <w:rFonts w:eastAsia="仿宋_GB2312"/>
          <w:bCs/>
          <w:sz w:val="24"/>
        </w:rPr>
        <w:t>等行业标准。</w:t>
      </w:r>
    </w:p>
    <w:p>
      <w:pPr>
        <w:spacing w:line="360" w:lineRule="auto"/>
        <w:ind w:left="465"/>
        <w:outlineLvl w:val="1"/>
        <w:rPr>
          <w:rFonts w:ascii="楷体_GB2312" w:eastAsia="楷体_GB2312"/>
          <w:sz w:val="24"/>
        </w:rPr>
      </w:pPr>
      <w:r>
        <w:rPr>
          <w:rFonts w:hint="eastAsia" w:ascii="楷体_GB2312" w:eastAsia="楷体_GB2312"/>
          <w:sz w:val="24"/>
        </w:rPr>
        <w:t>4修订文本</w:t>
      </w:r>
    </w:p>
    <w:p>
      <w:pPr>
        <w:spacing w:line="540" w:lineRule="exact"/>
        <w:ind w:firstLine="480" w:firstLineChars="200"/>
        <w:rPr>
          <w:rFonts w:eastAsia="仿宋_GB2312"/>
          <w:bCs/>
          <w:sz w:val="24"/>
        </w:rPr>
      </w:pPr>
      <w:r>
        <w:rPr>
          <w:rFonts w:hint="eastAsia" w:eastAsia="仿宋_GB2312"/>
          <w:bCs/>
          <w:sz w:val="24"/>
        </w:rPr>
        <w:t>20</w:t>
      </w:r>
      <w:r>
        <w:rPr>
          <w:rFonts w:eastAsia="仿宋_GB2312"/>
          <w:bCs/>
          <w:sz w:val="24"/>
        </w:rPr>
        <w:t>23</w:t>
      </w:r>
      <w:r>
        <w:rPr>
          <w:rFonts w:hint="eastAsia" w:eastAsia="仿宋_GB2312"/>
          <w:bCs/>
          <w:sz w:val="24"/>
        </w:rPr>
        <w:t>年5月，通过实地调研、电子邮件、电话等方式对山西隰县、祁县等有代表性的梨生产单位和贮藏企业进行调研，广泛征求玉露香梨贮藏保鲜、栽培和植保等方面的专家意见，在调研、查阅资料和征求专家意见的基础上，结合山西省玉露香梨果生产和贮运的实际情况修订编写《玉露香梨贮藏技术规程》大纲及征求意见稿。20</w:t>
      </w:r>
      <w:r>
        <w:rPr>
          <w:rFonts w:eastAsia="仿宋_GB2312"/>
          <w:bCs/>
          <w:sz w:val="24"/>
        </w:rPr>
        <w:t>23</w:t>
      </w:r>
      <w:r>
        <w:rPr>
          <w:rFonts w:hint="eastAsia" w:eastAsia="仿宋_GB2312"/>
          <w:bCs/>
          <w:sz w:val="24"/>
        </w:rPr>
        <w:t>年6月，广泛征求意见。《玉露香梨贮藏技术规程》（征求意见稿）经山西农业大学果树研究所和中国农业科学院果树研究所审查后，印发有关梨果贮藏企业、科研和教学单位广泛征求意见。20</w:t>
      </w:r>
      <w:r>
        <w:rPr>
          <w:rFonts w:eastAsia="仿宋_GB2312"/>
          <w:bCs/>
          <w:sz w:val="24"/>
        </w:rPr>
        <w:t>23</w:t>
      </w:r>
      <w:r>
        <w:rPr>
          <w:rFonts w:hint="eastAsia" w:eastAsia="仿宋_GB2312"/>
          <w:bCs/>
          <w:sz w:val="24"/>
        </w:rPr>
        <w:t>年7月至今，汇总各方意见并加以修正。</w:t>
      </w:r>
    </w:p>
    <w:p>
      <w:pPr>
        <w:spacing w:line="360" w:lineRule="auto"/>
        <w:ind w:left="465"/>
        <w:outlineLvl w:val="1"/>
        <w:rPr>
          <w:rFonts w:hint="eastAsia" w:ascii="楷体_GB2312" w:eastAsia="楷体_GB2312"/>
          <w:sz w:val="24"/>
        </w:rPr>
      </w:pPr>
      <w:r>
        <w:rPr>
          <w:rFonts w:hint="eastAsia" w:ascii="楷体_GB2312" w:eastAsia="楷体_GB2312"/>
          <w:sz w:val="24"/>
        </w:rPr>
        <w:t>5</w:t>
      </w:r>
      <w:r>
        <w:rPr>
          <w:rFonts w:hint="eastAsia" w:ascii="楷体_GB2312" w:eastAsia="楷体_GB2312"/>
          <w:sz w:val="24"/>
          <w:lang w:val="en-US" w:eastAsia="zh-CN"/>
        </w:rPr>
        <w:t>标准审查</w:t>
      </w:r>
    </w:p>
    <w:p>
      <w:pPr>
        <w:spacing w:line="400" w:lineRule="exact"/>
        <w:ind w:firstLine="480" w:firstLineChars="200"/>
        <w:rPr>
          <w:rFonts w:eastAsia="仿宋_GB2312"/>
          <w:bCs/>
          <w:sz w:val="24"/>
        </w:rPr>
      </w:pPr>
      <w:r>
        <w:rPr>
          <w:rFonts w:hint="eastAsia" w:eastAsia="仿宋_GB2312"/>
          <w:bCs/>
          <w:sz w:val="24"/>
        </w:rPr>
        <w:t>玉露香梨贮藏技术规程于2024年3月10日由相关部门组织专家进行了</w:t>
      </w:r>
      <w:r>
        <w:rPr>
          <w:rFonts w:hint="eastAsia" w:eastAsia="仿宋_GB2312"/>
          <w:bCs/>
          <w:sz w:val="24"/>
          <w:lang w:val="en-US" w:eastAsia="zh-CN"/>
        </w:rPr>
        <w:t>标准审查</w:t>
      </w:r>
      <w:r>
        <w:rPr>
          <w:rFonts w:hint="eastAsia" w:eastAsia="仿宋_GB2312"/>
          <w:bCs/>
          <w:sz w:val="24"/>
        </w:rPr>
        <w:t>。</w:t>
      </w:r>
    </w:p>
    <w:p>
      <w:pPr>
        <w:spacing w:line="360" w:lineRule="auto"/>
        <w:ind w:left="465"/>
        <w:outlineLvl w:val="1"/>
        <w:rPr>
          <w:rFonts w:ascii="楷体_GB2312" w:eastAsia="楷体_GB2312"/>
          <w:sz w:val="24"/>
        </w:rPr>
      </w:pPr>
      <w:r>
        <w:rPr>
          <w:rFonts w:hint="eastAsia" w:ascii="楷体_GB2312" w:eastAsia="楷体_GB2312"/>
          <w:sz w:val="24"/>
        </w:rPr>
        <w:t>6征求意见</w:t>
      </w:r>
    </w:p>
    <w:p>
      <w:pPr>
        <w:pStyle w:val="33"/>
        <w:spacing w:line="540" w:lineRule="exact"/>
        <w:ind w:left="0" w:leftChars="0" w:firstLine="480" w:firstLineChars="200"/>
        <w:rPr>
          <w:rFonts w:ascii="Times New Roman" w:hAnsi="Times New Roman"/>
          <w:bCs/>
          <w:sz w:val="24"/>
          <w:szCs w:val="24"/>
        </w:rPr>
      </w:pPr>
      <w:r>
        <w:rPr>
          <w:rFonts w:ascii="Times New Roman" w:hAnsi="Times New Roman"/>
          <w:bCs/>
          <w:sz w:val="24"/>
          <w:szCs w:val="24"/>
        </w:rPr>
        <w:t>起草小组将征求意见稿发</w:t>
      </w:r>
      <w:r>
        <w:rPr>
          <w:rFonts w:hint="eastAsia" w:ascii="Times New Roman" w:hAnsi="Times New Roman"/>
          <w:bCs/>
          <w:sz w:val="24"/>
          <w:szCs w:val="24"/>
        </w:rPr>
        <w:t>山西农业大学园艺学院和山西农业大学食品科学与工程学院</w:t>
      </w:r>
      <w:r>
        <w:rPr>
          <w:rFonts w:ascii="Times New Roman" w:hAnsi="Times New Roman"/>
          <w:bCs/>
          <w:sz w:val="24"/>
          <w:szCs w:val="24"/>
        </w:rPr>
        <w:t>2个单位征求意见。根据各单位的反馈意见对文本进行修改完善。</w:t>
      </w:r>
    </w:p>
    <w:p>
      <w:pPr>
        <w:spacing w:line="360" w:lineRule="auto"/>
        <w:ind w:left="465"/>
        <w:outlineLvl w:val="1"/>
        <w:rPr>
          <w:rFonts w:ascii="楷体_GB2312" w:eastAsia="楷体_GB2312"/>
          <w:sz w:val="24"/>
        </w:rPr>
      </w:pPr>
      <w:r>
        <w:rPr>
          <w:rFonts w:hint="eastAsia" w:ascii="楷体_GB2312" w:eastAsia="楷体_GB2312"/>
          <w:sz w:val="24"/>
        </w:rPr>
        <w:t>7完善文本</w:t>
      </w:r>
    </w:p>
    <w:p>
      <w:pPr>
        <w:spacing w:line="400" w:lineRule="exact"/>
        <w:ind w:firstLine="480" w:firstLineChars="200"/>
        <w:rPr>
          <w:rFonts w:eastAsia="仿宋_GB2312"/>
          <w:bCs/>
          <w:sz w:val="24"/>
        </w:rPr>
      </w:pPr>
      <w:r>
        <w:rPr>
          <w:rFonts w:hint="eastAsia" w:eastAsia="仿宋_GB2312"/>
          <w:bCs/>
          <w:sz w:val="24"/>
        </w:rPr>
        <w:t>修订小组进一步修改完善后形成标准送审稿，标委会表决可进行技术审查。</w:t>
      </w:r>
    </w:p>
    <w:p>
      <w:pPr>
        <w:spacing w:line="360" w:lineRule="auto"/>
        <w:ind w:left="465"/>
        <w:outlineLvl w:val="1"/>
        <w:rPr>
          <w:rFonts w:ascii="楷体_GB2312" w:eastAsia="楷体_GB2312"/>
          <w:sz w:val="24"/>
        </w:rPr>
      </w:pPr>
      <w:r>
        <w:rPr>
          <w:rFonts w:hint="eastAsia" w:ascii="楷体_GB2312" w:eastAsia="楷体_GB2312"/>
          <w:sz w:val="24"/>
        </w:rPr>
        <w:t>8形成报批稿、提交报批材料</w:t>
      </w:r>
    </w:p>
    <w:p>
      <w:pPr>
        <w:spacing w:line="360" w:lineRule="auto"/>
        <w:ind w:firstLine="480" w:firstLineChars="200"/>
        <w:rPr>
          <w:rFonts w:eastAsia="仿宋_GB2312"/>
          <w:bCs/>
          <w:sz w:val="24"/>
        </w:rPr>
      </w:pPr>
      <w:r>
        <w:rPr>
          <w:rFonts w:eastAsia="仿宋_GB2312"/>
          <w:bCs/>
          <w:sz w:val="24"/>
        </w:rPr>
        <w:t>2024年3月10日，山西省</w:t>
      </w:r>
      <w:r>
        <w:rPr>
          <w:rFonts w:hint="eastAsia" w:eastAsia="仿宋_GB2312"/>
          <w:bCs/>
          <w:sz w:val="24"/>
        </w:rPr>
        <w:t>市场监督管理局</w:t>
      </w:r>
      <w:r>
        <w:rPr>
          <w:rFonts w:eastAsia="仿宋_GB2312"/>
          <w:bCs/>
          <w:sz w:val="24"/>
        </w:rPr>
        <w:t>组织山西省</w:t>
      </w:r>
      <w:r>
        <w:rPr>
          <w:rFonts w:hint="eastAsia" w:eastAsia="仿宋_GB2312"/>
          <w:bCs/>
          <w:sz w:val="24"/>
        </w:rPr>
        <w:t>农业标准化</w:t>
      </w:r>
      <w:r>
        <w:rPr>
          <w:rFonts w:eastAsia="仿宋_GB2312"/>
          <w:bCs/>
          <w:sz w:val="24"/>
        </w:rPr>
        <w:t>技术委员会委员进行了技术审查，</w:t>
      </w:r>
      <w:r>
        <w:rPr>
          <w:rFonts w:hint="eastAsia" w:eastAsia="仿宋_GB2312"/>
          <w:bCs/>
          <w:sz w:val="24"/>
        </w:rPr>
        <w:t>修订</w:t>
      </w:r>
      <w:r>
        <w:rPr>
          <w:rFonts w:eastAsia="仿宋_GB2312"/>
          <w:bCs/>
          <w:sz w:val="24"/>
        </w:rPr>
        <w:t>小组根据技术审查意见，又进行了认真的修改完善，形成报批稿。</w:t>
      </w:r>
    </w:p>
    <w:p>
      <w:pPr>
        <w:spacing w:line="360" w:lineRule="auto"/>
        <w:ind w:firstLine="480" w:firstLineChars="200"/>
        <w:outlineLvl w:val="0"/>
        <w:rPr>
          <w:rFonts w:ascii="黑体" w:eastAsia="黑体"/>
          <w:sz w:val="24"/>
        </w:rPr>
      </w:pPr>
      <w:r>
        <w:rPr>
          <w:rFonts w:hint="eastAsia" w:ascii="黑体" w:eastAsia="黑体"/>
          <w:sz w:val="24"/>
        </w:rPr>
        <w:t>四</w:t>
      </w:r>
      <w:r>
        <w:rPr>
          <w:rFonts w:ascii="黑体" w:eastAsia="黑体"/>
          <w:sz w:val="24"/>
        </w:rPr>
        <w:t>、</w:t>
      </w:r>
      <w:r>
        <w:rPr>
          <w:rFonts w:hint="eastAsia" w:ascii="黑体" w:eastAsia="黑体"/>
          <w:sz w:val="24"/>
        </w:rPr>
        <w:t>制修</w:t>
      </w:r>
      <w:r>
        <w:rPr>
          <w:rFonts w:ascii="黑体" w:eastAsia="黑体"/>
          <w:sz w:val="24"/>
        </w:rPr>
        <w:t>订标准的原则和依据，与现行法律、法规、标准的关系</w:t>
      </w:r>
    </w:p>
    <w:p>
      <w:pPr>
        <w:spacing w:line="360" w:lineRule="auto"/>
        <w:ind w:firstLine="480" w:firstLineChars="200"/>
        <w:rPr>
          <w:rFonts w:eastAsia="仿宋_GB2312"/>
          <w:bCs/>
          <w:sz w:val="24"/>
        </w:rPr>
      </w:pPr>
      <w:r>
        <w:rPr>
          <w:rFonts w:eastAsia="仿宋_GB2312"/>
          <w:bCs/>
          <w:sz w:val="24"/>
        </w:rPr>
        <w:t>（一）标准编制的原则</w:t>
      </w:r>
    </w:p>
    <w:p>
      <w:pPr>
        <w:spacing w:line="360" w:lineRule="auto"/>
        <w:ind w:firstLine="480" w:firstLineChars="200"/>
        <w:rPr>
          <w:rFonts w:eastAsia="仿宋_GB2312"/>
          <w:bCs/>
          <w:sz w:val="24"/>
        </w:rPr>
      </w:pPr>
      <w:r>
        <w:rPr>
          <w:rFonts w:eastAsia="仿宋_GB2312"/>
          <w:bCs/>
          <w:sz w:val="24"/>
        </w:rPr>
        <w:t>1科学性原则</w:t>
      </w:r>
    </w:p>
    <w:p>
      <w:pPr>
        <w:spacing w:line="360" w:lineRule="auto"/>
        <w:ind w:firstLine="480" w:firstLineChars="200"/>
        <w:rPr>
          <w:rFonts w:eastAsia="仿宋_GB2312"/>
          <w:bCs/>
          <w:sz w:val="24"/>
        </w:rPr>
      </w:pPr>
      <w:r>
        <w:rPr>
          <w:rFonts w:eastAsia="仿宋_GB2312"/>
          <w:bCs/>
          <w:sz w:val="24"/>
        </w:rPr>
        <w:t>本规程依据《</w:t>
      </w:r>
      <w:r>
        <w:rPr>
          <w:rFonts w:hint="eastAsia" w:eastAsia="仿宋_GB2312"/>
          <w:bCs/>
          <w:sz w:val="24"/>
        </w:rPr>
        <w:t>梨志</w:t>
      </w:r>
      <w:r>
        <w:rPr>
          <w:rFonts w:eastAsia="仿宋_GB2312"/>
          <w:bCs/>
          <w:sz w:val="24"/>
        </w:rPr>
        <w:t>》《果树</w:t>
      </w:r>
      <w:r>
        <w:rPr>
          <w:rFonts w:hint="eastAsia" w:eastAsia="仿宋_GB2312"/>
          <w:bCs/>
          <w:sz w:val="24"/>
        </w:rPr>
        <w:t>栽培</w:t>
      </w:r>
      <w:r>
        <w:rPr>
          <w:rFonts w:eastAsia="仿宋_GB2312"/>
          <w:bCs/>
          <w:sz w:val="24"/>
        </w:rPr>
        <w:t>学》《</w:t>
      </w:r>
      <w:r>
        <w:rPr>
          <w:rFonts w:hint="eastAsia" w:eastAsia="仿宋_GB2312"/>
          <w:bCs/>
          <w:sz w:val="24"/>
        </w:rPr>
        <w:t>农产品贮藏与加工</w:t>
      </w:r>
      <w:r>
        <w:rPr>
          <w:rFonts w:eastAsia="仿宋_GB2312"/>
          <w:bCs/>
          <w:sz w:val="24"/>
        </w:rPr>
        <w:t>》等学科论著，并借鉴了</w:t>
      </w:r>
      <w:r>
        <w:rPr>
          <w:rFonts w:hint="eastAsia" w:eastAsia="仿宋_GB2312"/>
          <w:bCs/>
          <w:sz w:val="24"/>
        </w:rPr>
        <w:t>梨贮藏保鲜</w:t>
      </w:r>
      <w:r>
        <w:rPr>
          <w:rFonts w:eastAsia="仿宋_GB2312"/>
          <w:bCs/>
          <w:sz w:val="24"/>
        </w:rPr>
        <w:t>方面的国内外资料，通过研究试验，探索出</w:t>
      </w:r>
      <w:r>
        <w:rPr>
          <w:rFonts w:hint="eastAsia" w:eastAsia="仿宋_GB2312"/>
          <w:bCs/>
          <w:sz w:val="24"/>
        </w:rPr>
        <w:t>玉露香梨贮藏</w:t>
      </w:r>
      <w:r>
        <w:rPr>
          <w:rFonts w:eastAsia="仿宋_GB2312"/>
          <w:bCs/>
          <w:sz w:val="24"/>
        </w:rPr>
        <w:t>的关键技术，并在</w:t>
      </w:r>
      <w:r>
        <w:rPr>
          <w:rFonts w:hint="eastAsia" w:eastAsia="仿宋_GB2312"/>
          <w:bCs/>
          <w:sz w:val="24"/>
        </w:rPr>
        <w:t>玉露香梨生产示范基地冷库</w:t>
      </w:r>
      <w:r>
        <w:rPr>
          <w:rFonts w:eastAsia="仿宋_GB2312"/>
          <w:bCs/>
          <w:sz w:val="24"/>
        </w:rPr>
        <w:t>进行了长期实践验证，具备很强的科学性。</w:t>
      </w:r>
    </w:p>
    <w:p>
      <w:pPr>
        <w:spacing w:line="360" w:lineRule="auto"/>
        <w:ind w:firstLine="480" w:firstLineChars="200"/>
        <w:rPr>
          <w:rFonts w:eastAsia="仿宋_GB2312"/>
          <w:bCs/>
          <w:sz w:val="24"/>
        </w:rPr>
      </w:pPr>
      <w:r>
        <w:rPr>
          <w:rFonts w:eastAsia="仿宋_GB2312"/>
          <w:bCs/>
          <w:sz w:val="24"/>
        </w:rPr>
        <w:t>2可操作性原则</w:t>
      </w:r>
    </w:p>
    <w:p>
      <w:pPr>
        <w:spacing w:line="360" w:lineRule="auto"/>
        <w:ind w:firstLine="480" w:firstLineChars="200"/>
        <w:rPr>
          <w:rFonts w:eastAsia="仿宋_GB2312"/>
          <w:bCs/>
          <w:sz w:val="24"/>
        </w:rPr>
      </w:pPr>
      <w:r>
        <w:rPr>
          <w:rFonts w:eastAsia="仿宋_GB2312"/>
          <w:bCs/>
          <w:sz w:val="24"/>
        </w:rPr>
        <w:t>根据</w:t>
      </w:r>
      <w:r>
        <w:rPr>
          <w:rFonts w:hint="eastAsia" w:eastAsia="仿宋_GB2312"/>
          <w:bCs/>
          <w:sz w:val="24"/>
        </w:rPr>
        <w:t>玉露香梨贮藏</w:t>
      </w:r>
      <w:r>
        <w:rPr>
          <w:rFonts w:eastAsia="仿宋_GB2312"/>
          <w:bCs/>
          <w:sz w:val="24"/>
        </w:rPr>
        <w:t>的关键技术流程进行编写，便于指导生产。本规程以研究人员多年的生产经验为基础，能够做到不危害人类安全、健康，不破坏生态环境，有利于安全和可持续发展。本规程的应用可有效降低</w:t>
      </w:r>
      <w:r>
        <w:rPr>
          <w:rFonts w:hint="eastAsia" w:eastAsia="仿宋_GB2312"/>
          <w:bCs/>
          <w:sz w:val="24"/>
        </w:rPr>
        <w:t>梨贮藏保鲜</w:t>
      </w:r>
      <w:r>
        <w:rPr>
          <w:rFonts w:eastAsia="仿宋_GB2312"/>
          <w:bCs/>
          <w:sz w:val="24"/>
        </w:rPr>
        <w:t>成本，避免生产资料的浪费，最大限度地消除生产者之间因生产规模和能力不同所带来的技术差异，适应</w:t>
      </w:r>
      <w:r>
        <w:rPr>
          <w:rFonts w:hint="eastAsia" w:eastAsia="仿宋_GB2312"/>
          <w:bCs/>
          <w:sz w:val="24"/>
        </w:rPr>
        <w:t>梨</w:t>
      </w:r>
      <w:r>
        <w:rPr>
          <w:rFonts w:eastAsia="仿宋_GB2312"/>
          <w:bCs/>
          <w:sz w:val="24"/>
        </w:rPr>
        <w:t>产业的发展需要。</w:t>
      </w:r>
    </w:p>
    <w:p>
      <w:pPr>
        <w:spacing w:line="360" w:lineRule="auto"/>
        <w:ind w:firstLine="480" w:firstLineChars="200"/>
        <w:rPr>
          <w:rFonts w:eastAsia="仿宋_GB2312"/>
          <w:bCs/>
          <w:sz w:val="24"/>
        </w:rPr>
      </w:pPr>
      <w:r>
        <w:rPr>
          <w:rFonts w:eastAsia="仿宋_GB2312"/>
          <w:bCs/>
          <w:sz w:val="24"/>
        </w:rPr>
        <w:t>3可推广性原则</w:t>
      </w:r>
    </w:p>
    <w:p>
      <w:pPr>
        <w:spacing w:line="360" w:lineRule="auto"/>
        <w:ind w:firstLine="480" w:firstLineChars="200"/>
        <w:rPr>
          <w:rFonts w:eastAsia="仿宋_GB2312"/>
          <w:bCs/>
          <w:sz w:val="24"/>
        </w:rPr>
      </w:pPr>
      <w:r>
        <w:rPr>
          <w:rFonts w:eastAsia="仿宋_GB2312"/>
          <w:bCs/>
          <w:sz w:val="24"/>
        </w:rPr>
        <w:t>本规程的各项措施均经过了田间试验及推广的实践验证，并经过反复修正，总结提炼而来。在运城、</w:t>
      </w:r>
      <w:r>
        <w:rPr>
          <w:rFonts w:hint="eastAsia" w:eastAsia="仿宋_GB2312"/>
          <w:bCs/>
          <w:sz w:val="24"/>
        </w:rPr>
        <w:t>临汾</w:t>
      </w:r>
      <w:r>
        <w:rPr>
          <w:rFonts w:eastAsia="仿宋_GB2312"/>
          <w:bCs/>
          <w:sz w:val="24"/>
        </w:rPr>
        <w:t>、晋中</w:t>
      </w:r>
      <w:r>
        <w:rPr>
          <w:rFonts w:hint="eastAsia" w:eastAsia="仿宋_GB2312"/>
          <w:bCs/>
          <w:sz w:val="24"/>
        </w:rPr>
        <w:t>、原平</w:t>
      </w:r>
      <w:r>
        <w:rPr>
          <w:rFonts w:eastAsia="仿宋_GB2312"/>
          <w:bCs/>
          <w:sz w:val="24"/>
        </w:rPr>
        <w:t>等我省主要</w:t>
      </w:r>
      <w:r>
        <w:rPr>
          <w:rFonts w:hint="eastAsia" w:eastAsia="仿宋_GB2312"/>
          <w:bCs/>
          <w:sz w:val="24"/>
        </w:rPr>
        <w:t>玉露香梨</w:t>
      </w:r>
      <w:r>
        <w:rPr>
          <w:rFonts w:eastAsia="仿宋_GB2312"/>
          <w:bCs/>
          <w:sz w:val="24"/>
        </w:rPr>
        <w:t>产区进行了技术示范。本规程系统性、实用性强，便于基层技术人员掌握，具有很强的可推广性。</w:t>
      </w:r>
    </w:p>
    <w:p>
      <w:pPr>
        <w:pStyle w:val="33"/>
        <w:spacing w:line="360" w:lineRule="auto"/>
        <w:ind w:left="420" w:firstLine="120" w:firstLineChars="50"/>
        <w:rPr>
          <w:rFonts w:ascii="Times New Roman" w:hAnsi="Times New Roman"/>
          <w:bCs/>
          <w:sz w:val="24"/>
          <w:szCs w:val="24"/>
        </w:rPr>
      </w:pPr>
      <w:r>
        <w:rPr>
          <w:rFonts w:ascii="Times New Roman" w:hAnsi="Times New Roman"/>
          <w:bCs/>
          <w:sz w:val="24"/>
          <w:szCs w:val="24"/>
        </w:rPr>
        <w:t>4先进性原则</w:t>
      </w:r>
      <w:bookmarkStart w:id="2" w:name="_GoBack"/>
      <w:bookmarkEnd w:id="2"/>
    </w:p>
    <w:p>
      <w:pPr>
        <w:spacing w:line="336" w:lineRule="auto"/>
        <w:ind w:firstLine="480" w:firstLineChars="200"/>
        <w:rPr>
          <w:rFonts w:eastAsia="仿宋_GB2312"/>
          <w:bCs/>
          <w:sz w:val="24"/>
        </w:rPr>
      </w:pPr>
      <w:r>
        <w:rPr>
          <w:rFonts w:eastAsia="仿宋_GB2312"/>
          <w:bCs/>
          <w:sz w:val="24"/>
        </w:rPr>
        <w:t>本规程提出的玉露香梨适期采收、冷藏温度、保鲜技术，可有效延长果实冷藏寿命1</w:t>
      </w:r>
      <w:r>
        <w:rPr>
          <w:rFonts w:hint="eastAsia" w:eastAsia="仿宋_GB2312"/>
          <w:bCs/>
          <w:sz w:val="24"/>
        </w:rPr>
        <w:t>～</w:t>
      </w:r>
      <w:r>
        <w:rPr>
          <w:rFonts w:eastAsia="仿宋_GB2312"/>
          <w:bCs/>
          <w:sz w:val="24"/>
        </w:rPr>
        <w:t>2个月，商品果提高10%</w:t>
      </w:r>
      <w:r>
        <w:rPr>
          <w:rFonts w:hint="eastAsia" w:eastAsia="仿宋_GB2312"/>
          <w:bCs/>
          <w:sz w:val="24"/>
        </w:rPr>
        <w:t>～</w:t>
      </w:r>
      <w:r>
        <w:rPr>
          <w:rFonts w:eastAsia="仿宋_GB2312"/>
          <w:bCs/>
          <w:sz w:val="24"/>
        </w:rPr>
        <w:t>20%，腐烂率下降30%</w:t>
      </w:r>
      <w:r>
        <w:rPr>
          <w:rFonts w:hint="eastAsia" w:eastAsia="仿宋_GB2312"/>
          <w:bCs/>
          <w:sz w:val="24"/>
        </w:rPr>
        <w:t>～</w:t>
      </w:r>
      <w:r>
        <w:rPr>
          <w:rFonts w:eastAsia="仿宋_GB2312"/>
          <w:bCs/>
          <w:sz w:val="24"/>
        </w:rPr>
        <w:t>50%。按照万亩玉露香梨基地规模，亩产量2000</w:t>
      </w:r>
      <w:r>
        <w:rPr>
          <w:rFonts w:hint="eastAsia" w:eastAsia="仿宋_GB2312"/>
          <w:bCs/>
          <w:sz w:val="24"/>
          <w:lang w:val="en-US" w:eastAsia="zh-CN"/>
        </w:rPr>
        <w:t xml:space="preserve"> </w:t>
      </w:r>
      <w:r>
        <w:rPr>
          <w:rFonts w:hint="eastAsia" w:eastAsia="仿宋_GB2312"/>
          <w:bCs/>
          <w:sz w:val="24"/>
        </w:rPr>
        <w:t>kg</w:t>
      </w:r>
      <w:r>
        <w:rPr>
          <w:rFonts w:eastAsia="仿宋_GB2312"/>
          <w:bCs/>
          <w:sz w:val="24"/>
        </w:rPr>
        <w:t>，采后贮藏增值2.0元/</w:t>
      </w:r>
      <w:r>
        <w:rPr>
          <w:rFonts w:hint="eastAsia" w:eastAsia="仿宋_GB2312"/>
          <w:bCs/>
          <w:sz w:val="24"/>
        </w:rPr>
        <w:t>kg</w:t>
      </w:r>
      <w:r>
        <w:rPr>
          <w:rFonts w:eastAsia="仿宋_GB2312"/>
          <w:bCs/>
          <w:sz w:val="24"/>
        </w:rPr>
        <w:t>计算，每年增收4000万元。通过该指南规程的推广实施，玉露香梨果的50%达到出口梨果要求，出口价格较国内价格增加量按2.0元/</w:t>
      </w:r>
      <w:r>
        <w:rPr>
          <w:rFonts w:hint="eastAsia" w:eastAsia="仿宋_GB2312"/>
          <w:bCs/>
          <w:sz w:val="24"/>
        </w:rPr>
        <w:t>kg</w:t>
      </w:r>
      <w:r>
        <w:rPr>
          <w:rFonts w:eastAsia="仿宋_GB2312"/>
          <w:bCs/>
          <w:sz w:val="24"/>
        </w:rPr>
        <w:t>，其经济效益将再提高4000万元。本规程在玉露香梨贮藏技术领域处于先进水平。</w:t>
      </w:r>
    </w:p>
    <w:p>
      <w:pPr>
        <w:spacing w:line="360" w:lineRule="auto"/>
        <w:ind w:firstLine="480" w:firstLineChars="200"/>
        <w:rPr>
          <w:rFonts w:eastAsia="仿宋_GB2312"/>
          <w:bCs/>
          <w:sz w:val="24"/>
        </w:rPr>
      </w:pPr>
      <w:r>
        <w:rPr>
          <w:rFonts w:eastAsia="仿宋_GB2312"/>
          <w:bCs/>
          <w:sz w:val="24"/>
        </w:rPr>
        <w:t>（二）标准编制的依据</w:t>
      </w:r>
    </w:p>
    <w:p>
      <w:pPr>
        <w:pStyle w:val="28"/>
        <w:spacing w:line="360" w:lineRule="auto"/>
        <w:ind w:firstLine="480"/>
        <w:rPr>
          <w:rFonts w:ascii="Times New Roman" w:eastAsia="仿宋_GB2312"/>
          <w:bCs/>
          <w:kern w:val="2"/>
          <w:sz w:val="24"/>
          <w:szCs w:val="24"/>
        </w:rPr>
      </w:pPr>
      <w:r>
        <w:rPr>
          <w:rFonts w:ascii="Times New Roman" w:eastAsia="仿宋_GB2312"/>
          <w:bCs/>
          <w:kern w:val="2"/>
          <w:sz w:val="24"/>
          <w:szCs w:val="24"/>
        </w:rPr>
        <w:t>本规程制定的依据有：《中华人民共和国标准化法》《中华人民共和国种子法》《山西省林木种子条例》《山西省标准化条例》《山西省经济林发展条例》等法律法规文件；《国务院办公厅关于加强林木种苗工作的意见》《国家林业和草原局关于推进种苗事业高质量发展的意见》《山西省人民政府办公厅关于加强林木种苗工作的意见》等规范性文件；以及GB/T 1.1—2020《标准化工作导则第1部分：标准化文件的结构和起草规则》、GB/T 8559</w:t>
      </w:r>
      <w:r>
        <w:rPr>
          <w:rFonts w:hint="eastAsia" w:ascii="Times New Roman" w:eastAsia="仿宋_GB2312"/>
          <w:bCs/>
          <w:kern w:val="2"/>
          <w:sz w:val="24"/>
          <w:szCs w:val="24"/>
        </w:rPr>
        <w:t>《</w:t>
      </w:r>
      <w:r>
        <w:rPr>
          <w:rFonts w:ascii="Times New Roman" w:eastAsia="仿宋_GB2312"/>
          <w:bCs/>
          <w:kern w:val="2"/>
          <w:sz w:val="24"/>
          <w:szCs w:val="24"/>
        </w:rPr>
        <w:t>苹果冷藏技术</w:t>
      </w:r>
      <w:r>
        <w:rPr>
          <w:rFonts w:hint="eastAsia" w:ascii="Times New Roman" w:eastAsia="仿宋_GB2312"/>
          <w:bCs/>
          <w:kern w:val="2"/>
          <w:sz w:val="24"/>
          <w:szCs w:val="24"/>
        </w:rPr>
        <w:t>》、</w:t>
      </w:r>
      <w:r>
        <w:rPr>
          <w:rFonts w:ascii="Times New Roman" w:eastAsia="仿宋_GB2312"/>
          <w:bCs/>
          <w:kern w:val="2"/>
          <w:sz w:val="24"/>
          <w:szCs w:val="24"/>
        </w:rPr>
        <w:t>NY/T 1198</w:t>
      </w:r>
      <w:r>
        <w:rPr>
          <w:rFonts w:hint="eastAsia" w:ascii="Times New Roman" w:eastAsia="仿宋_GB2312"/>
          <w:bCs/>
          <w:kern w:val="2"/>
          <w:sz w:val="24"/>
          <w:szCs w:val="24"/>
        </w:rPr>
        <w:t>《</w:t>
      </w:r>
      <w:r>
        <w:rPr>
          <w:rFonts w:ascii="Times New Roman" w:eastAsia="仿宋_GB2312"/>
          <w:bCs/>
          <w:kern w:val="2"/>
          <w:sz w:val="24"/>
          <w:szCs w:val="24"/>
        </w:rPr>
        <w:t>梨贮运技术规范</w:t>
      </w:r>
      <w:r>
        <w:rPr>
          <w:rFonts w:hint="eastAsia" w:ascii="Times New Roman" w:eastAsia="仿宋_GB2312"/>
          <w:bCs/>
          <w:kern w:val="2"/>
          <w:sz w:val="24"/>
          <w:szCs w:val="24"/>
        </w:rPr>
        <w:t>》</w:t>
      </w:r>
      <w:r>
        <w:rPr>
          <w:rFonts w:ascii="Times New Roman" w:eastAsia="仿宋_GB2312"/>
          <w:bCs/>
          <w:kern w:val="2"/>
          <w:sz w:val="24"/>
          <w:szCs w:val="24"/>
        </w:rPr>
        <w:t>等标准。</w:t>
      </w:r>
    </w:p>
    <w:p>
      <w:pPr>
        <w:spacing w:line="360" w:lineRule="auto"/>
        <w:ind w:firstLine="480" w:firstLineChars="200"/>
        <w:rPr>
          <w:rFonts w:eastAsia="仿宋_GB2312"/>
          <w:bCs/>
          <w:sz w:val="24"/>
        </w:rPr>
      </w:pPr>
      <w:r>
        <w:rPr>
          <w:rFonts w:eastAsia="仿宋_GB2312"/>
          <w:bCs/>
          <w:sz w:val="24"/>
        </w:rPr>
        <w:t>（三）与现行法律、法规、标准的关系</w:t>
      </w:r>
    </w:p>
    <w:p>
      <w:pPr>
        <w:spacing w:line="360" w:lineRule="auto"/>
        <w:ind w:firstLine="432" w:firstLineChars="180"/>
        <w:rPr>
          <w:rFonts w:eastAsia="仿宋_GB2312"/>
          <w:bCs/>
          <w:sz w:val="24"/>
        </w:rPr>
      </w:pPr>
      <w:r>
        <w:rPr>
          <w:rFonts w:hint="eastAsia" w:eastAsia="仿宋_GB2312"/>
          <w:bCs/>
          <w:sz w:val="24"/>
        </w:rPr>
        <w:t>本标准参考了现行的法律、法规，其内容与现行的法律、法规不存在想矛盾的内容。</w:t>
      </w:r>
    </w:p>
    <w:p>
      <w:pPr>
        <w:spacing w:line="360" w:lineRule="auto"/>
        <w:ind w:firstLine="480" w:firstLineChars="200"/>
        <w:rPr>
          <w:rFonts w:eastAsia="仿宋_GB2312"/>
          <w:bCs/>
          <w:sz w:val="24"/>
        </w:rPr>
      </w:pPr>
      <w:r>
        <w:rPr>
          <w:rFonts w:eastAsia="仿宋_GB2312"/>
          <w:bCs/>
          <w:sz w:val="24"/>
        </w:rPr>
        <w:t>本规程严格按照GB/T 1.1—2020《标准化工作导则第1部分：标准化文件的结构和起草规则》规定的要素、格式、表述等进行起草。本规程引用了GB/T 8559</w:t>
      </w:r>
      <w:r>
        <w:rPr>
          <w:rFonts w:hint="eastAsia" w:eastAsia="仿宋_GB2312"/>
          <w:bCs/>
          <w:sz w:val="24"/>
        </w:rPr>
        <w:t>《</w:t>
      </w:r>
      <w:r>
        <w:rPr>
          <w:rFonts w:eastAsia="仿宋_GB2312"/>
          <w:bCs/>
          <w:sz w:val="24"/>
        </w:rPr>
        <w:t>苹果冷藏技术</w:t>
      </w:r>
      <w:r>
        <w:rPr>
          <w:rFonts w:hint="eastAsia" w:eastAsia="仿宋_GB2312"/>
          <w:bCs/>
          <w:sz w:val="24"/>
        </w:rPr>
        <w:t>》、GB/T</w:t>
      </w:r>
      <w:r>
        <w:rPr>
          <w:rFonts w:eastAsia="仿宋_GB2312"/>
          <w:bCs/>
          <w:sz w:val="24"/>
        </w:rPr>
        <w:t>10650</w:t>
      </w:r>
      <w:r>
        <w:rPr>
          <w:rFonts w:hint="eastAsia" w:eastAsia="仿宋_GB2312"/>
          <w:bCs/>
          <w:sz w:val="24"/>
        </w:rPr>
        <w:t>《鲜梨》、</w:t>
      </w:r>
      <w:r>
        <w:rPr>
          <w:rFonts w:eastAsia="仿宋_GB2312"/>
          <w:bCs/>
          <w:sz w:val="24"/>
        </w:rPr>
        <w:t>NY/T 1198</w:t>
      </w:r>
      <w:r>
        <w:rPr>
          <w:rFonts w:hint="eastAsia" w:eastAsia="仿宋_GB2312"/>
          <w:bCs/>
          <w:sz w:val="24"/>
        </w:rPr>
        <w:t>《</w:t>
      </w:r>
      <w:r>
        <w:rPr>
          <w:rFonts w:eastAsia="仿宋_GB2312"/>
          <w:bCs/>
          <w:sz w:val="24"/>
        </w:rPr>
        <w:t>梨贮运技术规范</w:t>
      </w:r>
      <w:r>
        <w:rPr>
          <w:rFonts w:hint="eastAsia" w:eastAsia="仿宋_GB2312"/>
          <w:bCs/>
          <w:sz w:val="24"/>
        </w:rPr>
        <w:t>》</w:t>
      </w:r>
      <w:r>
        <w:rPr>
          <w:rFonts w:eastAsia="仿宋_GB2312"/>
          <w:bCs/>
          <w:sz w:val="24"/>
        </w:rPr>
        <w:t>等标准的相关要求，与现行有关标准协调一致，无冲突。</w:t>
      </w:r>
    </w:p>
    <w:p>
      <w:pPr>
        <w:spacing w:line="360" w:lineRule="auto"/>
        <w:ind w:firstLine="480" w:firstLineChars="200"/>
        <w:outlineLvl w:val="0"/>
        <w:rPr>
          <w:rFonts w:ascii="黑体" w:eastAsia="黑体"/>
          <w:sz w:val="24"/>
        </w:rPr>
      </w:pPr>
      <w:r>
        <w:rPr>
          <w:rFonts w:hint="eastAsia" w:ascii="黑体" w:eastAsia="黑体"/>
          <w:sz w:val="24"/>
        </w:rPr>
        <w:t>五</w:t>
      </w:r>
      <w:r>
        <w:rPr>
          <w:rFonts w:ascii="黑体" w:eastAsia="黑体"/>
          <w:sz w:val="24"/>
        </w:rPr>
        <w:t>、主要条款的说明，主要技术指标、参数、试验验证的分析、综合论述</w:t>
      </w:r>
    </w:p>
    <w:p>
      <w:pPr>
        <w:spacing w:line="360" w:lineRule="auto"/>
        <w:ind w:firstLine="480" w:firstLineChars="200"/>
        <w:rPr>
          <w:rFonts w:eastAsia="仿宋_GB2312"/>
          <w:bCs/>
          <w:sz w:val="24"/>
        </w:rPr>
      </w:pPr>
      <w:r>
        <w:rPr>
          <w:rFonts w:hint="eastAsia" w:eastAsia="仿宋_GB2312"/>
          <w:bCs/>
          <w:sz w:val="24"/>
        </w:rPr>
        <w:t>标准起草组以“合法性、安全性、适应性、协调性和先进性”为修订原则，以文本结构更加合理、表述更加准确、技术指标更加科学为修订目标，从</w:t>
      </w:r>
      <w:r>
        <w:rPr>
          <w:rFonts w:hint="eastAsia" w:eastAsia="仿宋_GB2312"/>
          <w:bCs/>
          <w:sz w:val="24"/>
          <w:lang w:val="en-US" w:eastAsia="zh-CN"/>
        </w:rPr>
        <w:t>3</w:t>
      </w:r>
      <w:r>
        <w:rPr>
          <w:rFonts w:hint="eastAsia" w:eastAsia="仿宋_GB2312"/>
          <w:bCs/>
          <w:sz w:val="24"/>
        </w:rPr>
        <w:t>个方面对文本进行了修订，其中：</w:t>
      </w:r>
    </w:p>
    <w:p>
      <w:pPr>
        <w:spacing w:line="360" w:lineRule="auto"/>
        <w:ind w:firstLine="480" w:firstLineChars="200"/>
        <w:rPr>
          <w:rFonts w:eastAsia="仿宋_GB2312"/>
          <w:bCs/>
          <w:sz w:val="24"/>
        </w:rPr>
      </w:pPr>
      <w:r>
        <w:rPr>
          <w:rFonts w:hint="eastAsia" w:eastAsia="仿宋_GB2312"/>
          <w:bCs/>
          <w:sz w:val="24"/>
        </w:rPr>
        <w:t>1、涉及结构性调整的主要有</w:t>
      </w:r>
      <w:r>
        <w:rPr>
          <w:rFonts w:eastAsia="仿宋_GB2312"/>
          <w:bCs/>
          <w:sz w:val="24"/>
        </w:rPr>
        <w:t>3</w:t>
      </w:r>
      <w:r>
        <w:rPr>
          <w:rFonts w:hint="eastAsia" w:eastAsia="仿宋_GB2312"/>
          <w:bCs/>
          <w:sz w:val="24"/>
        </w:rPr>
        <w:t>项：</w:t>
      </w:r>
    </w:p>
    <w:p>
      <w:pPr>
        <w:spacing w:line="360" w:lineRule="auto"/>
        <w:ind w:firstLine="480" w:firstLineChars="200"/>
        <w:rPr>
          <w:rFonts w:eastAsia="仿宋_GB2312"/>
          <w:bCs/>
          <w:sz w:val="24"/>
        </w:rPr>
      </w:pPr>
      <w:r>
        <w:rPr>
          <w:rFonts w:hint="eastAsia" w:eastAsia="仿宋_GB2312"/>
          <w:bCs/>
          <w:sz w:val="24"/>
        </w:rPr>
        <w:t>（1）增加了规范性引用文件GB 2761、GB 2762、GB 276</w:t>
      </w:r>
      <w:r>
        <w:rPr>
          <w:rFonts w:eastAsia="仿宋_GB2312"/>
          <w:bCs/>
          <w:sz w:val="24"/>
        </w:rPr>
        <w:t>3</w:t>
      </w:r>
      <w:r>
        <w:rPr>
          <w:rFonts w:hint="eastAsia" w:eastAsia="仿宋_GB2312"/>
          <w:bCs/>
          <w:sz w:val="24"/>
        </w:rPr>
        <w:t>（见2）。修订原因：修订后的标准中增加</w:t>
      </w:r>
      <w:bookmarkStart w:id="0" w:name="_Hlk161215939"/>
      <w:r>
        <w:rPr>
          <w:rFonts w:hint="eastAsia" w:eastAsia="仿宋_GB2312"/>
          <w:bCs/>
          <w:sz w:val="24"/>
        </w:rPr>
        <w:t>了食品安全要求</w:t>
      </w:r>
      <w:bookmarkEnd w:id="0"/>
      <w:r>
        <w:rPr>
          <w:rFonts w:hint="eastAsia" w:eastAsia="仿宋_GB2312"/>
          <w:bCs/>
          <w:sz w:val="24"/>
        </w:rPr>
        <w:t>内容。</w:t>
      </w:r>
    </w:p>
    <w:p>
      <w:pPr>
        <w:spacing w:line="360" w:lineRule="auto"/>
        <w:ind w:firstLine="480" w:firstLineChars="200"/>
        <w:rPr>
          <w:rFonts w:eastAsia="仿宋_GB2312"/>
          <w:bCs/>
          <w:sz w:val="24"/>
        </w:rPr>
      </w:pPr>
      <w:r>
        <w:rPr>
          <w:rFonts w:hint="eastAsia" w:eastAsia="仿宋_GB2312"/>
          <w:bCs/>
          <w:sz w:val="24"/>
        </w:rPr>
        <w:t>（</w:t>
      </w:r>
      <w:r>
        <w:rPr>
          <w:rFonts w:eastAsia="仿宋_GB2312"/>
          <w:bCs/>
          <w:sz w:val="24"/>
        </w:rPr>
        <w:t>2</w:t>
      </w:r>
      <w:r>
        <w:rPr>
          <w:rFonts w:hint="eastAsia" w:eastAsia="仿宋_GB2312"/>
          <w:bCs/>
          <w:sz w:val="24"/>
        </w:rPr>
        <w:t>）删除了规范性引用文件</w:t>
      </w:r>
      <w:r>
        <w:rPr>
          <w:rFonts w:eastAsia="仿宋_GB2312"/>
          <w:bCs/>
          <w:sz w:val="24"/>
        </w:rPr>
        <w:t>NY/Y 442</w:t>
      </w:r>
      <w:r>
        <w:rPr>
          <w:rFonts w:hint="eastAsia" w:eastAsia="仿宋_GB2312"/>
          <w:bCs/>
          <w:sz w:val="24"/>
        </w:rPr>
        <w:t>、</w:t>
      </w:r>
      <w:r>
        <w:rPr>
          <w:rFonts w:eastAsia="仿宋_GB2312"/>
          <w:bCs/>
          <w:sz w:val="24"/>
        </w:rPr>
        <w:t>SBJ 16</w:t>
      </w:r>
      <w:r>
        <w:rPr>
          <w:rFonts w:hint="eastAsia" w:eastAsia="仿宋_GB2312"/>
          <w:bCs/>
          <w:sz w:val="24"/>
        </w:rPr>
        <w:t>（见2）。修订原因：修订后的标准不涉及这两个规范性引用文件。</w:t>
      </w:r>
    </w:p>
    <w:p>
      <w:pPr>
        <w:spacing w:line="360" w:lineRule="auto"/>
        <w:ind w:firstLine="480" w:firstLineChars="200"/>
        <w:rPr>
          <w:rFonts w:eastAsia="仿宋_GB2312"/>
          <w:bCs/>
          <w:sz w:val="24"/>
        </w:rPr>
      </w:pPr>
      <w:r>
        <w:rPr>
          <w:rFonts w:hint="eastAsia" w:eastAsia="仿宋_GB2312"/>
          <w:bCs/>
          <w:sz w:val="24"/>
        </w:rPr>
        <w:t>（</w:t>
      </w:r>
      <w:r>
        <w:rPr>
          <w:rFonts w:eastAsia="仿宋_GB2312"/>
          <w:bCs/>
          <w:sz w:val="24"/>
        </w:rPr>
        <w:t>3</w:t>
      </w:r>
      <w:r>
        <w:rPr>
          <w:rFonts w:hint="eastAsia" w:eastAsia="仿宋_GB2312"/>
          <w:bCs/>
          <w:sz w:val="24"/>
        </w:rPr>
        <w:t>）合并了第8章冷藏库贮藏和第9章气调库贮藏，改为第8章贮藏要求（见</w:t>
      </w:r>
      <w:r>
        <w:rPr>
          <w:rFonts w:eastAsia="仿宋_GB2312"/>
          <w:bCs/>
          <w:sz w:val="24"/>
        </w:rPr>
        <w:t>8</w:t>
      </w:r>
      <w:r>
        <w:rPr>
          <w:rFonts w:hint="eastAsia" w:eastAsia="仿宋_GB2312"/>
          <w:bCs/>
          <w:sz w:val="24"/>
        </w:rPr>
        <w:t>）。修订原因：冷藏库和气调库贮藏是两种贮藏方式，属于并列关系。</w:t>
      </w:r>
    </w:p>
    <w:p>
      <w:pPr>
        <w:spacing w:line="400" w:lineRule="exact"/>
        <w:ind w:firstLine="480" w:firstLineChars="200"/>
        <w:rPr>
          <w:rFonts w:eastAsia="仿宋_GB2312"/>
          <w:bCs/>
          <w:sz w:val="24"/>
        </w:rPr>
      </w:pPr>
      <w:r>
        <w:rPr>
          <w:rFonts w:hint="eastAsia" w:eastAsia="仿宋_GB2312"/>
          <w:bCs/>
          <w:sz w:val="24"/>
        </w:rPr>
        <w:t>2、涉及表述与编辑性修改的主要有6项：</w:t>
      </w:r>
    </w:p>
    <w:p>
      <w:pPr>
        <w:spacing w:line="360" w:lineRule="auto"/>
        <w:ind w:firstLine="480" w:firstLineChars="200"/>
        <w:rPr>
          <w:rFonts w:eastAsia="仿宋_GB2312"/>
          <w:bCs/>
          <w:sz w:val="24"/>
        </w:rPr>
      </w:pPr>
      <w:r>
        <w:rPr>
          <w:rFonts w:hint="eastAsia" w:eastAsia="仿宋_GB2312"/>
          <w:bCs/>
          <w:sz w:val="24"/>
        </w:rPr>
        <w:t>（</w:t>
      </w:r>
      <w:r>
        <w:rPr>
          <w:rFonts w:eastAsia="仿宋_GB2312"/>
          <w:bCs/>
          <w:sz w:val="24"/>
        </w:rPr>
        <w:t>1</w:t>
      </w:r>
      <w:r>
        <w:rPr>
          <w:rFonts w:hint="eastAsia" w:eastAsia="仿宋_GB2312"/>
          <w:bCs/>
          <w:sz w:val="24"/>
        </w:rPr>
        <w:t>）删除了短期贮藏和长期贮藏定义（见</w:t>
      </w:r>
      <w:r>
        <w:rPr>
          <w:rFonts w:eastAsia="仿宋_GB2312"/>
          <w:bCs/>
          <w:sz w:val="24"/>
        </w:rPr>
        <w:t>3</w:t>
      </w:r>
      <w:r>
        <w:rPr>
          <w:rFonts w:hint="eastAsia" w:eastAsia="仿宋_GB2312"/>
          <w:bCs/>
          <w:sz w:val="24"/>
        </w:rPr>
        <w:t>）。修订原因：短期贮藏和长期贮藏的时间范围在标准正文中写清楚。</w:t>
      </w:r>
    </w:p>
    <w:p>
      <w:pPr>
        <w:spacing w:line="360" w:lineRule="auto"/>
        <w:ind w:firstLine="480" w:firstLineChars="200"/>
        <w:rPr>
          <w:rFonts w:eastAsia="仿宋_GB2312"/>
          <w:bCs/>
          <w:sz w:val="24"/>
        </w:rPr>
      </w:pPr>
      <w:r>
        <w:rPr>
          <w:rFonts w:hint="eastAsia" w:eastAsia="仿宋_GB2312"/>
          <w:bCs/>
          <w:sz w:val="24"/>
        </w:rPr>
        <w:t>（2）更改了贮藏果质量内容（见5）。修订原因：贮藏果质量应分为基本质量要求和等级划分两部分。</w:t>
      </w:r>
    </w:p>
    <w:p>
      <w:pPr>
        <w:spacing w:line="360" w:lineRule="auto"/>
        <w:ind w:firstLine="480" w:firstLineChars="200"/>
        <w:rPr>
          <w:rFonts w:eastAsia="仿宋_GB2312"/>
          <w:bCs/>
          <w:sz w:val="24"/>
        </w:rPr>
      </w:pPr>
      <w:r>
        <w:rPr>
          <w:rFonts w:hint="eastAsia" w:eastAsia="仿宋_GB2312"/>
          <w:bCs/>
          <w:sz w:val="24"/>
        </w:rPr>
        <w:t>（</w:t>
      </w:r>
      <w:r>
        <w:rPr>
          <w:rFonts w:eastAsia="仿宋_GB2312"/>
          <w:bCs/>
          <w:sz w:val="24"/>
        </w:rPr>
        <w:t>3</w:t>
      </w:r>
      <w:r>
        <w:rPr>
          <w:rFonts w:hint="eastAsia" w:eastAsia="仿宋_GB2312"/>
          <w:bCs/>
          <w:sz w:val="24"/>
        </w:rPr>
        <w:t>）更改了包装要求章节（见</w:t>
      </w:r>
      <w:r>
        <w:rPr>
          <w:rFonts w:eastAsia="仿宋_GB2312"/>
          <w:bCs/>
          <w:sz w:val="24"/>
        </w:rPr>
        <w:t>4.4</w:t>
      </w:r>
      <w:r>
        <w:rPr>
          <w:rFonts w:hint="eastAsia" w:eastAsia="仿宋_GB2312"/>
          <w:bCs/>
          <w:sz w:val="24"/>
        </w:rPr>
        <w:t>）。修订原因：包装要求属于产品标准，不需要在技术标准中单独列出，列入小的条款即可。</w:t>
      </w:r>
    </w:p>
    <w:p>
      <w:pPr>
        <w:spacing w:line="360" w:lineRule="auto"/>
        <w:ind w:firstLine="480" w:firstLineChars="200"/>
        <w:rPr>
          <w:rFonts w:eastAsia="仿宋_GB2312"/>
          <w:bCs/>
          <w:sz w:val="24"/>
        </w:rPr>
      </w:pPr>
      <w:r>
        <w:rPr>
          <w:rFonts w:hint="eastAsia" w:eastAsia="仿宋_GB2312"/>
          <w:bCs/>
          <w:sz w:val="24"/>
        </w:rPr>
        <w:t>（</w:t>
      </w:r>
      <w:r>
        <w:rPr>
          <w:rFonts w:eastAsia="仿宋_GB2312"/>
          <w:bCs/>
          <w:sz w:val="24"/>
        </w:rPr>
        <w:t>4</w:t>
      </w:r>
      <w:r>
        <w:rPr>
          <w:rFonts w:hint="eastAsia" w:eastAsia="仿宋_GB2312"/>
          <w:bCs/>
          <w:sz w:val="24"/>
        </w:rPr>
        <w:t>）增加了食品安全要求内容（见</w:t>
      </w:r>
      <w:r>
        <w:rPr>
          <w:rFonts w:eastAsia="仿宋_GB2312"/>
          <w:bCs/>
          <w:sz w:val="24"/>
        </w:rPr>
        <w:t>4.4</w:t>
      </w:r>
      <w:r>
        <w:rPr>
          <w:rFonts w:hint="eastAsia" w:eastAsia="仿宋_GB2312"/>
          <w:bCs/>
          <w:sz w:val="24"/>
        </w:rPr>
        <w:t>）。修订原因：食品安全要求很重要，应该在标准中体现。</w:t>
      </w:r>
    </w:p>
    <w:p>
      <w:pPr>
        <w:spacing w:line="360" w:lineRule="auto"/>
        <w:ind w:firstLine="480" w:firstLineChars="200"/>
        <w:rPr>
          <w:rFonts w:eastAsia="仿宋_GB2312"/>
          <w:bCs/>
          <w:sz w:val="24"/>
        </w:rPr>
      </w:pPr>
      <w:r>
        <w:rPr>
          <w:rFonts w:hint="eastAsia" w:eastAsia="仿宋_GB2312"/>
          <w:bCs/>
          <w:sz w:val="24"/>
        </w:rPr>
        <w:t>（</w:t>
      </w:r>
      <w:r>
        <w:rPr>
          <w:rFonts w:eastAsia="仿宋_GB2312"/>
          <w:bCs/>
          <w:sz w:val="24"/>
        </w:rPr>
        <w:t>5</w:t>
      </w:r>
      <w:r>
        <w:rPr>
          <w:rFonts w:hint="eastAsia" w:eastAsia="仿宋_GB2312"/>
          <w:bCs/>
          <w:sz w:val="24"/>
        </w:rPr>
        <w:t>）删除了运输内容（见1</w:t>
      </w:r>
      <w:r>
        <w:rPr>
          <w:rFonts w:eastAsia="仿宋_GB2312"/>
          <w:bCs/>
          <w:sz w:val="24"/>
        </w:rPr>
        <w:t>0</w:t>
      </w:r>
      <w:r>
        <w:rPr>
          <w:rFonts w:hint="eastAsia" w:eastAsia="仿宋_GB2312"/>
          <w:bCs/>
          <w:sz w:val="24"/>
        </w:rPr>
        <w:t>）。修订原因：运输内容属于物流标准，不需要在技术标准中列出。</w:t>
      </w:r>
    </w:p>
    <w:p>
      <w:pPr>
        <w:spacing w:line="360" w:lineRule="auto"/>
        <w:ind w:firstLine="480" w:firstLineChars="200"/>
        <w:rPr>
          <w:rFonts w:eastAsia="仿宋_GB2312"/>
          <w:bCs/>
          <w:sz w:val="24"/>
        </w:rPr>
      </w:pPr>
      <w:r>
        <w:rPr>
          <w:rFonts w:hint="eastAsia" w:eastAsia="仿宋_GB2312"/>
          <w:bCs/>
          <w:sz w:val="24"/>
        </w:rPr>
        <w:t>（</w:t>
      </w:r>
      <w:r>
        <w:rPr>
          <w:rFonts w:eastAsia="仿宋_GB2312"/>
          <w:bCs/>
          <w:sz w:val="24"/>
        </w:rPr>
        <w:t>6</w:t>
      </w:r>
      <w:r>
        <w:rPr>
          <w:rFonts w:hint="eastAsia" w:eastAsia="仿宋_GB2312"/>
          <w:bCs/>
          <w:sz w:val="24"/>
        </w:rPr>
        <w:t>）删除了</w:t>
      </w:r>
      <w:bookmarkStart w:id="1" w:name="_Hlk161216572"/>
      <w:r>
        <w:rPr>
          <w:rFonts w:hint="eastAsia" w:eastAsia="仿宋_GB2312"/>
          <w:bCs/>
          <w:sz w:val="24"/>
        </w:rPr>
        <w:t>表3冷库情况调查表</w:t>
      </w:r>
      <w:bookmarkEnd w:id="1"/>
      <w:r>
        <w:rPr>
          <w:rFonts w:hint="eastAsia" w:eastAsia="仿宋_GB2312"/>
          <w:bCs/>
          <w:sz w:val="24"/>
        </w:rPr>
        <w:t>（见1</w:t>
      </w:r>
      <w:r>
        <w:rPr>
          <w:rFonts w:eastAsia="仿宋_GB2312"/>
          <w:bCs/>
          <w:sz w:val="24"/>
        </w:rPr>
        <w:t>2</w:t>
      </w:r>
      <w:r>
        <w:rPr>
          <w:rFonts w:hint="eastAsia" w:eastAsia="仿宋_GB2312"/>
          <w:bCs/>
          <w:sz w:val="24"/>
        </w:rPr>
        <w:t>）。修订原因：部分冷库已实现智能化管理，冷库情况调查数据不局限于使用调查表。</w:t>
      </w:r>
    </w:p>
    <w:p>
      <w:pPr>
        <w:spacing w:line="400" w:lineRule="exact"/>
        <w:ind w:firstLine="480" w:firstLineChars="200"/>
        <w:rPr>
          <w:rFonts w:eastAsia="仿宋_GB2312"/>
          <w:bCs/>
          <w:sz w:val="24"/>
        </w:rPr>
      </w:pPr>
      <w:r>
        <w:rPr>
          <w:rFonts w:hint="eastAsia" w:eastAsia="仿宋_GB2312"/>
          <w:bCs/>
          <w:sz w:val="24"/>
        </w:rPr>
        <w:t>3、涉及到的技术指标主要有3项：</w:t>
      </w:r>
    </w:p>
    <w:p>
      <w:pPr>
        <w:spacing w:line="360" w:lineRule="auto"/>
        <w:ind w:firstLine="480" w:firstLineChars="200"/>
        <w:rPr>
          <w:rFonts w:eastAsia="仿宋_GB2312"/>
          <w:bCs/>
          <w:sz w:val="24"/>
        </w:rPr>
      </w:pPr>
      <w:r>
        <w:rPr>
          <w:rFonts w:hint="eastAsia" w:eastAsia="仿宋_GB2312"/>
          <w:bCs/>
          <w:sz w:val="24"/>
        </w:rPr>
        <w:t>（1）更改了表1内容（见</w:t>
      </w:r>
      <w:r>
        <w:rPr>
          <w:rFonts w:eastAsia="仿宋_GB2312"/>
          <w:bCs/>
          <w:sz w:val="24"/>
        </w:rPr>
        <w:t>4.2</w:t>
      </w:r>
      <w:r>
        <w:rPr>
          <w:rFonts w:hint="eastAsia" w:eastAsia="仿宋_GB2312"/>
          <w:bCs/>
          <w:sz w:val="24"/>
        </w:rPr>
        <w:t>）。修订原因：因物候期不同，各地成熟期也各不相同，把玉露香梨在山西晋中成熟期作为案例列出表外。</w:t>
      </w:r>
    </w:p>
    <w:p>
      <w:pPr>
        <w:spacing w:line="360" w:lineRule="auto"/>
        <w:ind w:firstLine="480" w:firstLineChars="200"/>
        <w:rPr>
          <w:rFonts w:eastAsia="仿宋_GB2312"/>
          <w:bCs/>
          <w:sz w:val="24"/>
        </w:rPr>
      </w:pPr>
      <w:r>
        <w:rPr>
          <w:rFonts w:hint="eastAsia" w:eastAsia="仿宋_GB2312"/>
          <w:bCs/>
          <w:sz w:val="24"/>
        </w:rPr>
        <w:t>（2）增加了预冷内容（见</w:t>
      </w:r>
      <w:r>
        <w:rPr>
          <w:rFonts w:eastAsia="仿宋_GB2312"/>
          <w:bCs/>
          <w:sz w:val="24"/>
        </w:rPr>
        <w:t>6</w:t>
      </w:r>
      <w:r>
        <w:rPr>
          <w:rFonts w:hint="eastAsia" w:eastAsia="仿宋_GB2312"/>
          <w:bCs/>
          <w:sz w:val="24"/>
        </w:rPr>
        <w:t>）。修订原因：预冷可降低梨果呼吸强度，属于果品贮藏前重要环节。</w:t>
      </w:r>
    </w:p>
    <w:p>
      <w:pPr>
        <w:spacing w:line="360" w:lineRule="auto"/>
        <w:ind w:firstLine="480" w:firstLineChars="200"/>
        <w:rPr>
          <w:rFonts w:eastAsia="仿宋_GB2312"/>
          <w:bCs/>
          <w:sz w:val="24"/>
        </w:rPr>
      </w:pPr>
      <w:r>
        <w:rPr>
          <w:rFonts w:hint="eastAsia" w:eastAsia="仿宋_GB2312"/>
          <w:bCs/>
          <w:sz w:val="24"/>
        </w:rPr>
        <w:t>（3）更改了冷藏库通风管理内容（见</w:t>
      </w:r>
      <w:r>
        <w:rPr>
          <w:rFonts w:eastAsia="仿宋_GB2312"/>
          <w:bCs/>
          <w:sz w:val="24"/>
        </w:rPr>
        <w:t>8.1.3</w:t>
      </w:r>
      <w:r>
        <w:rPr>
          <w:rFonts w:hint="eastAsia" w:eastAsia="仿宋_GB2312"/>
          <w:bCs/>
          <w:sz w:val="24"/>
        </w:rPr>
        <w:t>）。修订原因：表述了通风作用以及乙烯浓度控制指标。</w:t>
      </w:r>
    </w:p>
    <w:p>
      <w:pPr>
        <w:spacing w:line="360" w:lineRule="auto"/>
        <w:ind w:firstLine="480" w:firstLineChars="200"/>
        <w:outlineLvl w:val="0"/>
        <w:rPr>
          <w:rFonts w:ascii="黑体" w:eastAsia="黑体"/>
          <w:sz w:val="24"/>
        </w:rPr>
      </w:pPr>
      <w:r>
        <w:rPr>
          <w:rFonts w:hint="eastAsia" w:ascii="黑体" w:eastAsia="黑体"/>
          <w:sz w:val="24"/>
        </w:rPr>
        <w:t>六</w:t>
      </w:r>
      <w:r>
        <w:rPr>
          <w:rFonts w:ascii="黑体" w:eastAsia="黑体"/>
          <w:sz w:val="24"/>
        </w:rPr>
        <w:t>、</w:t>
      </w:r>
      <w:r>
        <w:rPr>
          <w:rFonts w:hint="eastAsia" w:ascii="黑体" w:eastAsia="黑体"/>
          <w:sz w:val="24"/>
        </w:rPr>
        <w:t>重大</w:t>
      </w:r>
      <w:r>
        <w:rPr>
          <w:rFonts w:ascii="黑体" w:eastAsia="黑体"/>
          <w:sz w:val="24"/>
        </w:rPr>
        <w:t>意见分歧的处理依据和结果</w:t>
      </w:r>
    </w:p>
    <w:p>
      <w:pPr>
        <w:spacing w:line="540" w:lineRule="exact"/>
        <w:ind w:firstLine="480" w:firstLineChars="200"/>
        <w:rPr>
          <w:rFonts w:eastAsia="仿宋_GB2312"/>
          <w:bCs/>
          <w:sz w:val="24"/>
        </w:rPr>
      </w:pPr>
      <w:r>
        <w:rPr>
          <w:rFonts w:eastAsia="仿宋_GB2312"/>
          <w:bCs/>
          <w:sz w:val="24"/>
        </w:rPr>
        <w:t>征求意见稿在山西省市场监督管理局网站公示了30天征求意见，未收到意见或建议。</w:t>
      </w:r>
    </w:p>
    <w:p>
      <w:pPr>
        <w:spacing w:line="360" w:lineRule="auto"/>
        <w:ind w:firstLine="480" w:firstLineChars="200"/>
        <w:outlineLvl w:val="0"/>
        <w:rPr>
          <w:rFonts w:ascii="黑体" w:eastAsia="黑体"/>
          <w:sz w:val="24"/>
        </w:rPr>
      </w:pPr>
      <w:r>
        <w:rPr>
          <w:rFonts w:hint="eastAsia" w:ascii="黑体" w:eastAsia="黑体"/>
          <w:sz w:val="24"/>
        </w:rPr>
        <w:t>七</w:t>
      </w:r>
      <w:r>
        <w:rPr>
          <w:rFonts w:ascii="黑体" w:eastAsia="黑体"/>
          <w:sz w:val="24"/>
        </w:rPr>
        <w:t>、</w:t>
      </w:r>
      <w:r>
        <w:rPr>
          <w:rFonts w:hint="eastAsia" w:ascii="黑体" w:eastAsia="黑体"/>
          <w:sz w:val="24"/>
        </w:rPr>
        <w:t>采标</w:t>
      </w:r>
      <w:r>
        <w:rPr>
          <w:rFonts w:ascii="黑体" w:eastAsia="黑体"/>
          <w:sz w:val="24"/>
        </w:rPr>
        <w:t>情况，是否合规引用或采用国际标准和国外先进标准，以及与国内外同类标准水平的对比情况</w:t>
      </w:r>
    </w:p>
    <w:p>
      <w:pPr>
        <w:spacing w:line="360" w:lineRule="auto"/>
        <w:ind w:firstLine="480" w:firstLineChars="200"/>
        <w:rPr>
          <w:rFonts w:eastAsia="仿宋_GB2312"/>
          <w:bCs/>
          <w:sz w:val="24"/>
        </w:rPr>
      </w:pPr>
      <w:r>
        <w:rPr>
          <w:rFonts w:eastAsia="仿宋_GB2312"/>
          <w:bCs/>
          <w:sz w:val="24"/>
        </w:rPr>
        <w:t>本规程未引用或采用国际国外标准。</w:t>
      </w:r>
    </w:p>
    <w:p>
      <w:pPr>
        <w:spacing w:line="360" w:lineRule="auto"/>
        <w:ind w:firstLine="480" w:firstLineChars="200"/>
        <w:rPr>
          <w:rFonts w:eastAsia="仿宋_GB2312"/>
          <w:bCs/>
          <w:sz w:val="24"/>
        </w:rPr>
      </w:pPr>
      <w:r>
        <w:rPr>
          <w:rFonts w:hint="eastAsia" w:eastAsia="仿宋_GB2312"/>
          <w:bCs/>
          <w:sz w:val="24"/>
        </w:rPr>
        <w:t>本标准严格遵循国家标准、行业标准在梨果贮藏保鲜方面的相关规定、也借鉴了其它省市的一些经验。与现行的国标、行标及其它省市的地方标准相比较，本规程突出了以下几个方面的内容：</w:t>
      </w:r>
    </w:p>
    <w:p>
      <w:pPr>
        <w:spacing w:line="360" w:lineRule="auto"/>
        <w:ind w:firstLine="480" w:firstLineChars="200"/>
        <w:rPr>
          <w:rFonts w:eastAsia="仿宋_GB2312"/>
          <w:bCs/>
          <w:sz w:val="24"/>
        </w:rPr>
      </w:pPr>
      <w:r>
        <w:rPr>
          <w:rFonts w:hint="eastAsia" w:eastAsia="仿宋_GB2312"/>
          <w:bCs/>
          <w:sz w:val="24"/>
        </w:rPr>
        <w:t>1.首次规范了山西省乃至我国玉露香梨贮藏保鲜技术，填补了玉露香梨贮藏保鲜技术的空白，解决了因玉露香梨贮藏技术不当造成的保绿效果差、品质劣变快以及因机械伤造成的腐烂率高等问题；</w:t>
      </w:r>
    </w:p>
    <w:p>
      <w:pPr>
        <w:spacing w:line="360" w:lineRule="auto"/>
        <w:ind w:firstLine="480" w:firstLineChars="200"/>
        <w:rPr>
          <w:rFonts w:eastAsia="仿宋_GB2312"/>
          <w:bCs/>
          <w:sz w:val="24"/>
        </w:rPr>
      </w:pPr>
      <w:r>
        <w:rPr>
          <w:rFonts w:hint="eastAsia" w:eastAsia="仿宋_GB2312"/>
          <w:bCs/>
          <w:sz w:val="24"/>
        </w:rPr>
        <w:t>2.本规程提倡“绿色防腐保鲜”理念，在保持玉露香梨果实固有品质基础上，根据贮藏期限进行基于保绿和品质维持的保鲜技术；</w:t>
      </w:r>
    </w:p>
    <w:p>
      <w:pPr>
        <w:spacing w:line="360" w:lineRule="auto"/>
        <w:ind w:firstLine="480" w:firstLineChars="200"/>
        <w:rPr>
          <w:rFonts w:eastAsia="仿宋_GB2312"/>
          <w:bCs/>
          <w:sz w:val="24"/>
        </w:rPr>
      </w:pPr>
      <w:r>
        <w:rPr>
          <w:rFonts w:hint="eastAsia" w:eastAsia="仿宋_GB2312"/>
          <w:bCs/>
          <w:sz w:val="24"/>
        </w:rPr>
        <w:t>3.提出了玉露香梨采收成熟度的确定参数，为果农适时合理采收提供简单易行的判断方法；</w:t>
      </w:r>
    </w:p>
    <w:p>
      <w:pPr>
        <w:spacing w:line="360" w:lineRule="auto"/>
        <w:ind w:firstLine="480" w:firstLineChars="200"/>
        <w:rPr>
          <w:rFonts w:eastAsia="仿宋_GB2312"/>
          <w:bCs/>
          <w:sz w:val="24"/>
        </w:rPr>
      </w:pPr>
      <w:r>
        <w:rPr>
          <w:rFonts w:hint="eastAsia" w:eastAsia="仿宋_GB2312"/>
          <w:bCs/>
          <w:sz w:val="24"/>
        </w:rPr>
        <w:t>4.提出了玉露香梨适宜小包装自发气调保鲜的保鲜膜厚度，在玉露香梨贮藏过程中起到了较好的保绿效果，且该方法经济实惠、易操作；</w:t>
      </w:r>
    </w:p>
    <w:p>
      <w:pPr>
        <w:spacing w:line="360" w:lineRule="auto"/>
        <w:ind w:firstLine="480" w:firstLineChars="200"/>
        <w:rPr>
          <w:rFonts w:eastAsia="仿宋_GB2312"/>
          <w:bCs/>
          <w:sz w:val="24"/>
        </w:rPr>
      </w:pPr>
      <w:r>
        <w:rPr>
          <w:rFonts w:hint="eastAsia" w:eastAsia="仿宋_GB2312"/>
          <w:bCs/>
          <w:sz w:val="24"/>
        </w:rPr>
        <w:t>5.增加了梨果贮藏及运输过程中机械伤防控技术，减少玉露香梨皮薄肉脆易因机械伤造成的采收后大量腐烂。</w:t>
      </w:r>
    </w:p>
    <w:p>
      <w:pPr>
        <w:spacing w:line="360" w:lineRule="auto"/>
        <w:ind w:firstLine="480" w:firstLineChars="200"/>
        <w:outlineLvl w:val="0"/>
        <w:rPr>
          <w:rFonts w:ascii="黑体" w:eastAsia="黑体"/>
          <w:sz w:val="24"/>
        </w:rPr>
      </w:pPr>
      <w:r>
        <w:rPr>
          <w:rFonts w:hint="eastAsia" w:ascii="黑体" w:eastAsia="黑体"/>
          <w:sz w:val="24"/>
        </w:rPr>
        <w:t>八、</w:t>
      </w:r>
      <w:r>
        <w:rPr>
          <w:rFonts w:hint="eastAsia" w:ascii="黑体" w:hAnsi="黑体" w:eastAsia="黑体"/>
          <w:sz w:val="24"/>
        </w:rPr>
        <w:t>作为推荐性标准或者强制性标准的建议及其理由。</w:t>
      </w:r>
    </w:p>
    <w:p>
      <w:pPr>
        <w:spacing w:line="360" w:lineRule="auto"/>
        <w:ind w:firstLine="480" w:firstLineChars="200"/>
        <w:jc w:val="left"/>
        <w:rPr>
          <w:rFonts w:ascii="仿宋_GB2312" w:hAnsi="宋体" w:eastAsia="仿宋_GB2312"/>
          <w:sz w:val="24"/>
        </w:rPr>
      </w:pPr>
      <w:r>
        <w:rPr>
          <w:rFonts w:ascii="仿宋_GB2312" w:hAnsi="宋体" w:eastAsia="仿宋_GB2312"/>
          <w:sz w:val="24"/>
        </w:rPr>
        <w:t>建议本标准为推荐性标准。</w:t>
      </w:r>
    </w:p>
    <w:p>
      <w:pPr>
        <w:spacing w:line="360" w:lineRule="auto"/>
        <w:ind w:firstLine="480" w:firstLineChars="200"/>
        <w:outlineLvl w:val="0"/>
        <w:rPr>
          <w:rFonts w:ascii="黑体" w:eastAsia="黑体"/>
          <w:sz w:val="24"/>
        </w:rPr>
      </w:pPr>
      <w:r>
        <w:rPr>
          <w:rFonts w:hint="eastAsia" w:ascii="黑体" w:eastAsia="黑体"/>
          <w:sz w:val="24"/>
        </w:rPr>
        <w:t>九</w:t>
      </w:r>
      <w:r>
        <w:rPr>
          <w:rFonts w:ascii="黑体" w:eastAsia="黑体"/>
          <w:sz w:val="24"/>
        </w:rPr>
        <w:t>、</w:t>
      </w:r>
      <w:r>
        <w:rPr>
          <w:rFonts w:hint="eastAsia" w:ascii="黑体" w:eastAsia="黑体"/>
          <w:sz w:val="24"/>
        </w:rPr>
        <w:t>实施</w:t>
      </w:r>
      <w:r>
        <w:rPr>
          <w:rFonts w:ascii="黑体" w:eastAsia="黑体"/>
          <w:sz w:val="24"/>
        </w:rPr>
        <w:t>标准的措施建议</w:t>
      </w:r>
    </w:p>
    <w:p>
      <w:pPr>
        <w:spacing w:line="360" w:lineRule="auto"/>
        <w:ind w:firstLine="432" w:firstLineChars="180"/>
        <w:rPr>
          <w:rFonts w:eastAsia="仿宋_GB2312"/>
          <w:bCs/>
          <w:sz w:val="24"/>
        </w:rPr>
      </w:pPr>
      <w:r>
        <w:rPr>
          <w:rFonts w:hint="eastAsia" w:eastAsia="仿宋_GB2312"/>
          <w:bCs/>
          <w:sz w:val="24"/>
        </w:rPr>
        <w:t>本标准发布实施后，我们将通过媒体进行公告，同时组织相关农技部门、贮藏企业、果农进行技术指导、培训，使其尽快熟悉、了解和掌握本标准，并及早运用于实践中，进一步促进玉露香梨产业的健康、快速发展。</w:t>
      </w:r>
    </w:p>
    <w:p>
      <w:pPr>
        <w:spacing w:line="360" w:lineRule="auto"/>
        <w:ind w:firstLine="480" w:firstLineChars="200"/>
        <w:jc w:val="left"/>
        <w:rPr>
          <w:rFonts w:ascii="仿宋_GB2312" w:hAnsi="宋体" w:eastAsia="仿宋_GB2312"/>
          <w:sz w:val="24"/>
        </w:rPr>
      </w:pPr>
    </w:p>
    <w:p>
      <w:pPr>
        <w:spacing w:line="360" w:lineRule="auto"/>
        <w:ind w:firstLine="480" w:firstLineChars="200"/>
        <w:jc w:val="left"/>
        <w:rPr>
          <w:rFonts w:ascii="仿宋_GB2312" w:hAnsi="宋体" w:eastAsia="仿宋_GB2312"/>
          <w:sz w:val="24"/>
        </w:rPr>
        <w:sectPr>
          <w:footerReference r:id="rId3" w:type="default"/>
          <w:pgSz w:w="11906" w:h="16838"/>
          <w:pgMar w:top="1440" w:right="1803" w:bottom="1440" w:left="1803" w:header="851" w:footer="992" w:gutter="0"/>
          <w:pgNumType w:start="1"/>
          <w:cols w:space="0" w:num="1"/>
          <w:titlePg/>
          <w:docGrid w:type="lines" w:linePitch="319" w:charSpace="0"/>
        </w:sectPr>
      </w:pPr>
    </w:p>
    <w:p>
      <w:pPr>
        <w:spacing w:line="360" w:lineRule="auto"/>
        <w:ind w:firstLine="480" w:firstLineChars="200"/>
        <w:jc w:val="left"/>
        <w:rPr>
          <w:rFonts w:ascii="仿宋_GB2312" w:hAnsi="宋体" w:eastAsia="仿宋_GB2312"/>
          <w:sz w:val="24"/>
        </w:rPr>
      </w:pPr>
      <w:r>
        <w:rPr>
          <w:rFonts w:hint="eastAsia" w:ascii="仿宋_GB2312" w:hAnsi="宋体" w:eastAsia="仿宋_GB2312"/>
          <w:sz w:val="24"/>
        </w:rPr>
        <w:t>地方标准征求意见汇总处理表见表C.1</w:t>
      </w:r>
    </w:p>
    <w:p>
      <w:pPr>
        <w:jc w:val="center"/>
        <w:rPr>
          <w:rFonts w:ascii="仿宋_GB2312" w:hAnsi="宋体" w:eastAsia="仿宋_GB2312"/>
          <w:sz w:val="24"/>
        </w:rPr>
      </w:pPr>
      <w:r>
        <w:rPr>
          <w:rFonts w:hint="eastAsia" w:ascii="仿宋_GB2312" w:hAnsi="宋体" w:eastAsia="仿宋_GB2312"/>
          <w:sz w:val="24"/>
        </w:rPr>
        <w:t>表 C.1《</w:t>
      </w:r>
      <w:r>
        <w:rPr>
          <w:rFonts w:ascii="仿宋_GB2312" w:hAnsi="宋体" w:eastAsia="仿宋_GB2312"/>
          <w:sz w:val="24"/>
        </w:rPr>
        <w:t>玉露香梨贮藏技术规程</w:t>
      </w:r>
      <w:r>
        <w:rPr>
          <w:rFonts w:hint="eastAsia" w:ascii="仿宋_GB2312" w:hAnsi="宋体" w:eastAsia="仿宋_GB2312"/>
          <w:sz w:val="24"/>
        </w:rPr>
        <w:t>》地方标准征求意见汇总处理表</w:t>
      </w:r>
    </w:p>
    <w:p>
      <w:pPr>
        <w:rPr>
          <w:sz w:val="24"/>
        </w:rPr>
      </w:pPr>
      <w:r>
        <w:rPr>
          <w:sz w:val="24"/>
        </w:rPr>
        <w:t>起草单位：山西</w:t>
      </w:r>
      <w:r>
        <w:rPr>
          <w:rFonts w:hint="eastAsia"/>
          <w:sz w:val="24"/>
        </w:rPr>
        <w:t>农业大学</w:t>
      </w:r>
      <w:r>
        <w:rPr>
          <w:sz w:val="24"/>
        </w:rPr>
        <w:t>果树研究所承办人：</w:t>
      </w:r>
      <w:r>
        <w:rPr>
          <w:rFonts w:hint="eastAsia"/>
          <w:sz w:val="24"/>
        </w:rPr>
        <w:t>杨盛联系</w:t>
      </w:r>
      <w:r>
        <w:rPr>
          <w:sz w:val="24"/>
        </w:rPr>
        <w:t>电话：</w:t>
      </w:r>
      <w:r>
        <w:rPr>
          <w:rFonts w:hint="eastAsia"/>
          <w:sz w:val="24"/>
        </w:rPr>
        <w:t>03546215255填写时间：2024年1月3日</w:t>
      </w:r>
    </w:p>
    <w:tbl>
      <w:tblPr>
        <w:tblStyle w:val="12"/>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980"/>
        <w:gridCol w:w="2999"/>
        <w:gridCol w:w="2977"/>
        <w:gridCol w:w="2977"/>
        <w:gridCol w:w="2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shd w:val="clear" w:color="auto" w:fill="auto"/>
          </w:tcPr>
          <w:p>
            <w:pPr>
              <w:spacing w:afterLines="50"/>
              <w:jc w:val="center"/>
              <w:rPr>
                <w:b/>
                <w:sz w:val="24"/>
              </w:rPr>
            </w:pPr>
            <w:r>
              <w:rPr>
                <w:rFonts w:hint="eastAsia"/>
                <w:b/>
                <w:sz w:val="24"/>
              </w:rPr>
              <w:t>序号</w:t>
            </w:r>
          </w:p>
        </w:tc>
        <w:tc>
          <w:tcPr>
            <w:tcW w:w="1980" w:type="dxa"/>
            <w:shd w:val="clear" w:color="auto" w:fill="auto"/>
          </w:tcPr>
          <w:p>
            <w:pPr>
              <w:spacing w:afterLines="50"/>
              <w:jc w:val="center"/>
              <w:rPr>
                <w:b/>
                <w:sz w:val="24"/>
              </w:rPr>
            </w:pPr>
            <w:r>
              <w:rPr>
                <w:rFonts w:hint="eastAsia"/>
                <w:b/>
                <w:sz w:val="24"/>
              </w:rPr>
              <w:t>标准章条编号</w:t>
            </w:r>
          </w:p>
        </w:tc>
        <w:tc>
          <w:tcPr>
            <w:tcW w:w="2999" w:type="dxa"/>
            <w:shd w:val="clear" w:color="auto" w:fill="auto"/>
          </w:tcPr>
          <w:p>
            <w:pPr>
              <w:spacing w:afterLines="50"/>
              <w:jc w:val="center"/>
              <w:rPr>
                <w:b/>
                <w:sz w:val="24"/>
              </w:rPr>
            </w:pPr>
            <w:r>
              <w:rPr>
                <w:rFonts w:hint="eastAsia"/>
                <w:b/>
                <w:sz w:val="24"/>
              </w:rPr>
              <w:t>意见内容</w:t>
            </w:r>
          </w:p>
        </w:tc>
        <w:tc>
          <w:tcPr>
            <w:tcW w:w="2977" w:type="dxa"/>
            <w:shd w:val="clear" w:color="auto" w:fill="auto"/>
          </w:tcPr>
          <w:p>
            <w:pPr>
              <w:spacing w:afterLines="50"/>
              <w:jc w:val="center"/>
              <w:rPr>
                <w:b/>
                <w:sz w:val="24"/>
              </w:rPr>
            </w:pPr>
            <w:r>
              <w:rPr>
                <w:rFonts w:hint="eastAsia"/>
                <w:b/>
                <w:sz w:val="24"/>
              </w:rPr>
              <w:t>提出单位（或个人）</w:t>
            </w:r>
          </w:p>
        </w:tc>
        <w:tc>
          <w:tcPr>
            <w:tcW w:w="2977" w:type="dxa"/>
            <w:shd w:val="clear" w:color="auto" w:fill="auto"/>
          </w:tcPr>
          <w:p>
            <w:pPr>
              <w:spacing w:afterLines="50"/>
              <w:jc w:val="center"/>
              <w:rPr>
                <w:b/>
                <w:sz w:val="24"/>
              </w:rPr>
            </w:pPr>
            <w:r>
              <w:rPr>
                <w:rFonts w:hint="eastAsia"/>
                <w:b/>
                <w:sz w:val="24"/>
              </w:rPr>
              <w:t>处理意见</w:t>
            </w:r>
          </w:p>
          <w:p>
            <w:pPr>
              <w:spacing w:afterLines="50"/>
              <w:jc w:val="center"/>
              <w:rPr>
                <w:b/>
                <w:sz w:val="24"/>
              </w:rPr>
            </w:pPr>
            <w:r>
              <w:rPr>
                <w:rFonts w:hint="eastAsia"/>
                <w:b/>
                <w:sz w:val="24"/>
              </w:rPr>
              <w:t>（采纳/不采纳）</w:t>
            </w:r>
          </w:p>
        </w:tc>
        <w:tc>
          <w:tcPr>
            <w:tcW w:w="2413" w:type="dxa"/>
            <w:shd w:val="clear" w:color="auto" w:fill="auto"/>
          </w:tcPr>
          <w:p>
            <w:pPr>
              <w:spacing w:afterLines="50"/>
              <w:jc w:val="center"/>
              <w:rPr>
                <w:b/>
                <w:sz w:val="24"/>
              </w:rPr>
            </w:pPr>
            <w:r>
              <w:rPr>
                <w:rFonts w:hint="eastAsia"/>
                <w:b/>
                <w:sz w:val="24"/>
              </w:rPr>
              <w:t>意见处理说明</w:t>
            </w:r>
          </w:p>
          <w:p>
            <w:pPr>
              <w:spacing w:afterLines="50"/>
              <w:jc w:val="center"/>
              <w:rPr>
                <w:b/>
                <w:sz w:val="24"/>
              </w:rPr>
            </w:pPr>
            <w:r>
              <w:rPr>
                <w:rFonts w:hint="eastAsia"/>
                <w:b/>
                <w:sz w:val="24"/>
              </w:rPr>
              <w:t>（不采纳的理由等）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828" w:type="dxa"/>
            <w:shd w:val="clear" w:color="auto" w:fill="auto"/>
          </w:tcPr>
          <w:p>
            <w:pPr>
              <w:spacing w:afterLines="50"/>
              <w:jc w:val="center"/>
              <w:rPr>
                <w:sz w:val="24"/>
              </w:rPr>
            </w:pPr>
            <w:r>
              <w:rPr>
                <w:sz w:val="24"/>
              </w:rPr>
              <w:t>1</w:t>
            </w:r>
          </w:p>
        </w:tc>
        <w:tc>
          <w:tcPr>
            <w:tcW w:w="1980" w:type="dxa"/>
            <w:shd w:val="clear" w:color="auto" w:fill="auto"/>
          </w:tcPr>
          <w:p>
            <w:pPr>
              <w:spacing w:afterLines="50"/>
              <w:rPr>
                <w:sz w:val="24"/>
              </w:rPr>
            </w:pPr>
            <w:r>
              <w:rPr>
                <w:rFonts w:hint="eastAsia"/>
                <w:sz w:val="24"/>
              </w:rPr>
              <w:t>6</w:t>
            </w:r>
          </w:p>
        </w:tc>
        <w:tc>
          <w:tcPr>
            <w:tcW w:w="2999" w:type="dxa"/>
            <w:shd w:val="clear" w:color="auto" w:fill="auto"/>
          </w:tcPr>
          <w:p>
            <w:pPr>
              <w:spacing w:afterLines="50"/>
              <w:rPr>
                <w:sz w:val="24"/>
              </w:rPr>
            </w:pPr>
            <w:r>
              <w:rPr>
                <w:rFonts w:hint="eastAsia"/>
                <w:sz w:val="24"/>
              </w:rPr>
              <w:t>重新组织语言层次</w:t>
            </w:r>
          </w:p>
        </w:tc>
        <w:tc>
          <w:tcPr>
            <w:tcW w:w="2977" w:type="dxa"/>
            <w:shd w:val="clear" w:color="auto" w:fill="auto"/>
          </w:tcPr>
          <w:p>
            <w:pPr>
              <w:spacing w:afterLines="50"/>
              <w:rPr>
                <w:sz w:val="24"/>
              </w:rPr>
            </w:pPr>
            <w:r>
              <w:rPr>
                <w:rFonts w:hint="eastAsia"/>
                <w:sz w:val="24"/>
              </w:rPr>
              <w:t>山西农业大学园艺学院</w:t>
            </w:r>
          </w:p>
        </w:tc>
        <w:tc>
          <w:tcPr>
            <w:tcW w:w="2977" w:type="dxa"/>
            <w:shd w:val="clear" w:color="auto" w:fill="auto"/>
          </w:tcPr>
          <w:p>
            <w:pPr>
              <w:spacing w:afterLines="50"/>
              <w:rPr>
                <w:sz w:val="24"/>
              </w:rPr>
            </w:pPr>
            <w:r>
              <w:rPr>
                <w:rFonts w:hint="eastAsia"/>
                <w:sz w:val="24"/>
              </w:rPr>
              <w:t>根据专家意见进行整理</w:t>
            </w:r>
          </w:p>
        </w:tc>
        <w:tc>
          <w:tcPr>
            <w:tcW w:w="2413" w:type="dxa"/>
            <w:shd w:val="clear" w:color="auto" w:fill="auto"/>
          </w:tcPr>
          <w:p>
            <w:pPr>
              <w:spacing w:afterLines="5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shd w:val="clear" w:color="auto" w:fill="auto"/>
          </w:tcPr>
          <w:p>
            <w:pPr>
              <w:spacing w:afterLines="50"/>
              <w:jc w:val="center"/>
              <w:rPr>
                <w:sz w:val="24"/>
              </w:rPr>
            </w:pPr>
            <w:r>
              <w:rPr>
                <w:sz w:val="24"/>
              </w:rPr>
              <w:t>2</w:t>
            </w:r>
          </w:p>
        </w:tc>
        <w:tc>
          <w:tcPr>
            <w:tcW w:w="1980" w:type="dxa"/>
            <w:shd w:val="clear" w:color="auto" w:fill="auto"/>
          </w:tcPr>
          <w:p>
            <w:pPr>
              <w:spacing w:afterLines="50"/>
              <w:rPr>
                <w:sz w:val="24"/>
              </w:rPr>
            </w:pPr>
            <w:r>
              <w:rPr>
                <w:sz w:val="24"/>
              </w:rPr>
              <w:t>全文</w:t>
            </w:r>
          </w:p>
        </w:tc>
        <w:tc>
          <w:tcPr>
            <w:tcW w:w="2999" w:type="dxa"/>
            <w:shd w:val="clear" w:color="auto" w:fill="auto"/>
          </w:tcPr>
          <w:p>
            <w:pPr>
              <w:spacing w:afterLines="50"/>
              <w:rPr>
                <w:sz w:val="24"/>
              </w:rPr>
            </w:pPr>
            <w:r>
              <w:rPr>
                <w:rFonts w:hint="eastAsia"/>
                <w:sz w:val="24"/>
              </w:rPr>
              <w:t>将所有单位用字母表示</w:t>
            </w:r>
          </w:p>
        </w:tc>
        <w:tc>
          <w:tcPr>
            <w:tcW w:w="2977" w:type="dxa"/>
            <w:shd w:val="clear" w:color="auto" w:fill="auto"/>
          </w:tcPr>
          <w:p>
            <w:pPr>
              <w:spacing w:afterLines="50"/>
              <w:rPr>
                <w:sz w:val="24"/>
              </w:rPr>
            </w:pPr>
            <w:r>
              <w:rPr>
                <w:rFonts w:hint="eastAsia"/>
                <w:sz w:val="24"/>
              </w:rPr>
              <w:t>山西农业大学食品科学与工程学院</w:t>
            </w:r>
          </w:p>
        </w:tc>
        <w:tc>
          <w:tcPr>
            <w:tcW w:w="2977" w:type="dxa"/>
            <w:shd w:val="clear" w:color="auto" w:fill="auto"/>
          </w:tcPr>
          <w:p>
            <w:pPr>
              <w:spacing w:afterLines="50"/>
              <w:rPr>
                <w:sz w:val="24"/>
              </w:rPr>
            </w:pPr>
            <w:r>
              <w:rPr>
                <w:rFonts w:hint="eastAsia"/>
                <w:sz w:val="24"/>
              </w:rPr>
              <w:t>已按专家意见进行修改</w:t>
            </w:r>
          </w:p>
        </w:tc>
        <w:tc>
          <w:tcPr>
            <w:tcW w:w="2413" w:type="dxa"/>
            <w:shd w:val="clear" w:color="auto" w:fill="auto"/>
          </w:tcPr>
          <w:p>
            <w:pPr>
              <w:spacing w:afterLines="5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shd w:val="clear" w:color="auto" w:fill="auto"/>
          </w:tcPr>
          <w:p>
            <w:pPr>
              <w:spacing w:afterLines="50"/>
              <w:jc w:val="center"/>
              <w:rPr>
                <w:sz w:val="24"/>
              </w:rPr>
            </w:pPr>
          </w:p>
        </w:tc>
        <w:tc>
          <w:tcPr>
            <w:tcW w:w="1980" w:type="dxa"/>
            <w:shd w:val="clear" w:color="auto" w:fill="auto"/>
          </w:tcPr>
          <w:p>
            <w:pPr>
              <w:spacing w:afterLines="50"/>
              <w:rPr>
                <w:sz w:val="24"/>
              </w:rPr>
            </w:pPr>
          </w:p>
        </w:tc>
        <w:tc>
          <w:tcPr>
            <w:tcW w:w="2999" w:type="dxa"/>
            <w:shd w:val="clear" w:color="auto" w:fill="auto"/>
          </w:tcPr>
          <w:p>
            <w:pPr>
              <w:spacing w:afterLines="50"/>
              <w:rPr>
                <w:sz w:val="24"/>
              </w:rPr>
            </w:pPr>
          </w:p>
        </w:tc>
        <w:tc>
          <w:tcPr>
            <w:tcW w:w="2977" w:type="dxa"/>
            <w:shd w:val="clear" w:color="auto" w:fill="auto"/>
          </w:tcPr>
          <w:p>
            <w:pPr>
              <w:spacing w:afterLines="50"/>
              <w:rPr>
                <w:sz w:val="24"/>
              </w:rPr>
            </w:pPr>
          </w:p>
        </w:tc>
        <w:tc>
          <w:tcPr>
            <w:tcW w:w="2977" w:type="dxa"/>
            <w:shd w:val="clear" w:color="auto" w:fill="auto"/>
          </w:tcPr>
          <w:p>
            <w:pPr>
              <w:spacing w:afterLines="50"/>
              <w:rPr>
                <w:sz w:val="24"/>
              </w:rPr>
            </w:pPr>
          </w:p>
        </w:tc>
        <w:tc>
          <w:tcPr>
            <w:tcW w:w="2413" w:type="dxa"/>
            <w:shd w:val="clear" w:color="auto" w:fill="auto"/>
          </w:tcPr>
          <w:p>
            <w:pPr>
              <w:spacing w:afterLines="5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6"/>
            <w:shd w:val="clear" w:color="auto" w:fill="auto"/>
          </w:tcPr>
          <w:p>
            <w:pPr>
              <w:ind w:left="900" w:hanging="900" w:hangingChars="300"/>
              <w:rPr>
                <w:sz w:val="30"/>
                <w:szCs w:val="30"/>
              </w:rPr>
            </w:pPr>
            <w:r>
              <w:rPr>
                <w:rFonts w:hint="eastAsia"/>
                <w:sz w:val="30"/>
                <w:szCs w:val="30"/>
              </w:rPr>
              <w:t>说明：</w:t>
            </w:r>
            <w:r>
              <w:rPr>
                <w:rFonts w:ascii="Calibri" w:hAnsi="Calibri" w:cs="Calibri"/>
                <w:color w:val="000000"/>
                <w:kern w:val="0"/>
                <w:sz w:val="18"/>
                <w:szCs w:val="18"/>
              </w:rPr>
              <w:t>1</w:t>
            </w:r>
            <w:r>
              <w:rPr>
                <w:rFonts w:ascii="宋体" w:hAnsi="宋体" w:cs="宋体"/>
                <w:color w:val="000000"/>
                <w:kern w:val="0"/>
                <w:sz w:val="18"/>
                <w:szCs w:val="18"/>
              </w:rPr>
              <w:t>、针对明确回复无意见的单位，请在“意见内容”中注明无意见，在“提出单位”中列出无意见单位的名称。</w:t>
            </w:r>
            <w:r>
              <w:rPr>
                <w:rFonts w:hint="eastAsia" w:ascii="宋体" w:hAnsi="宋体" w:cs="宋体"/>
                <w:color w:val="000000"/>
                <w:kern w:val="0"/>
                <w:sz w:val="18"/>
                <w:szCs w:val="18"/>
              </w:rPr>
              <w:br w:type="textWrapping"/>
            </w:r>
            <w:r>
              <w:rPr>
                <w:rFonts w:ascii="Calibri" w:hAnsi="Calibri" w:cs="Calibri"/>
                <w:color w:val="000000"/>
                <w:kern w:val="0"/>
                <w:sz w:val="18"/>
                <w:szCs w:val="18"/>
              </w:rPr>
              <w:t>2</w:t>
            </w:r>
            <w:r>
              <w:rPr>
                <w:rFonts w:ascii="宋体" w:hAnsi="宋体" w:cs="宋体"/>
                <w:color w:val="000000"/>
                <w:kern w:val="0"/>
                <w:sz w:val="18"/>
                <w:szCs w:val="18"/>
              </w:rPr>
              <w:t>、发送征求意见稿单位数2个；回到征求意见稿回函的单位数2个；收到征求意见稿并提出意见的单位数2个；没有回函的单位数0个；共收到2条意见，采纳2条意见，部分采纳0条意见，未采纳0条意见</w:t>
            </w:r>
            <w:r>
              <w:rPr>
                <w:rFonts w:hint="eastAsia" w:ascii="宋体" w:hAnsi="宋体" w:cs="宋体"/>
                <w:color w:val="000000"/>
                <w:kern w:val="0"/>
                <w:sz w:val="18"/>
                <w:szCs w:val="18"/>
              </w:rPr>
              <w:t>。</w:t>
            </w:r>
          </w:p>
        </w:tc>
      </w:tr>
    </w:tbl>
    <w:p>
      <w:pPr>
        <w:spacing w:afterLines="50"/>
        <w:rPr>
          <w:sz w:val="30"/>
          <w:szCs w:val="30"/>
        </w:rPr>
      </w:pPr>
    </w:p>
    <w:p>
      <w:pPr>
        <w:rPr>
          <w:rFonts w:ascii="仿宋_GB2312" w:eastAsia="仿宋_GB2312"/>
          <w:b/>
          <w:color w:val="0000FF"/>
          <w:sz w:val="32"/>
          <w:szCs w:val="32"/>
        </w:rPr>
      </w:pPr>
    </w:p>
    <w:p>
      <w:pPr>
        <w:jc w:val="left"/>
        <w:rPr>
          <w:rFonts w:ascii="仿宋_GB2312" w:hAnsi="宋体" w:eastAsia="仿宋_GB2312"/>
          <w:color w:val="0000FF"/>
          <w:sz w:val="24"/>
        </w:rPr>
      </w:pPr>
    </w:p>
    <w:sectPr>
      <w:pgSz w:w="16838" w:h="11906" w:orient="landscape"/>
      <w:pgMar w:top="1803" w:right="1440" w:bottom="1803" w:left="1440" w:header="851" w:footer="992" w:gutter="0"/>
      <w:pgNumType w:start="1"/>
      <w:cols w:space="0" w:num="1"/>
      <w:titlePg/>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ngal">
    <w:altName w:val="AMGDT"/>
    <w:panose1 w:val="00000400000000000000"/>
    <w:charset w:val="01"/>
    <w:family w:val="roman"/>
    <w:pitch w:val="default"/>
    <w:sig w:usb0="00000000" w:usb1="00000000" w:usb2="00000000" w:usb3="00000000" w:csb0="0000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2</w:t>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0"/>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1"/>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2"/>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9"/>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kY2ZjMDA2OGU1MWU1MTNmZDM0NWQ3ZjliYWMwYmYifQ=="/>
  </w:docVars>
  <w:rsids>
    <w:rsidRoot w:val="00636FC5"/>
    <w:rsid w:val="00000D9B"/>
    <w:rsid w:val="00001C9C"/>
    <w:rsid w:val="00002121"/>
    <w:rsid w:val="00003D4E"/>
    <w:rsid w:val="0001430A"/>
    <w:rsid w:val="000173E8"/>
    <w:rsid w:val="000203B7"/>
    <w:rsid w:val="00021FC1"/>
    <w:rsid w:val="00024D73"/>
    <w:rsid w:val="00025BA5"/>
    <w:rsid w:val="0003148C"/>
    <w:rsid w:val="00034A41"/>
    <w:rsid w:val="00035FEB"/>
    <w:rsid w:val="000443C0"/>
    <w:rsid w:val="00045395"/>
    <w:rsid w:val="00045C4C"/>
    <w:rsid w:val="000471FB"/>
    <w:rsid w:val="00051B0A"/>
    <w:rsid w:val="00054BA0"/>
    <w:rsid w:val="00061514"/>
    <w:rsid w:val="00073F3B"/>
    <w:rsid w:val="000754B9"/>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7E22"/>
    <w:rsid w:val="000E0029"/>
    <w:rsid w:val="000E0518"/>
    <w:rsid w:val="000E5AE7"/>
    <w:rsid w:val="000E5DDF"/>
    <w:rsid w:val="00104D9E"/>
    <w:rsid w:val="001079E4"/>
    <w:rsid w:val="00114B28"/>
    <w:rsid w:val="0011735E"/>
    <w:rsid w:val="00126903"/>
    <w:rsid w:val="00136B80"/>
    <w:rsid w:val="00140883"/>
    <w:rsid w:val="001422D2"/>
    <w:rsid w:val="00142DCA"/>
    <w:rsid w:val="001451F2"/>
    <w:rsid w:val="00153E55"/>
    <w:rsid w:val="00155235"/>
    <w:rsid w:val="0016381F"/>
    <w:rsid w:val="0016534D"/>
    <w:rsid w:val="001653E3"/>
    <w:rsid w:val="001657F4"/>
    <w:rsid w:val="00181C97"/>
    <w:rsid w:val="00184DC2"/>
    <w:rsid w:val="00195264"/>
    <w:rsid w:val="001A0041"/>
    <w:rsid w:val="001A0916"/>
    <w:rsid w:val="001C0311"/>
    <w:rsid w:val="001C1B81"/>
    <w:rsid w:val="001C2BE8"/>
    <w:rsid w:val="001C3ACE"/>
    <w:rsid w:val="001D06C4"/>
    <w:rsid w:val="001D0957"/>
    <w:rsid w:val="001D7128"/>
    <w:rsid w:val="001E486F"/>
    <w:rsid w:val="001F695E"/>
    <w:rsid w:val="001F7C13"/>
    <w:rsid w:val="001F7CF9"/>
    <w:rsid w:val="0020132D"/>
    <w:rsid w:val="002042E4"/>
    <w:rsid w:val="00207988"/>
    <w:rsid w:val="00211530"/>
    <w:rsid w:val="00213570"/>
    <w:rsid w:val="00217A11"/>
    <w:rsid w:val="002216A8"/>
    <w:rsid w:val="00226A9A"/>
    <w:rsid w:val="00226FD3"/>
    <w:rsid w:val="00227FEE"/>
    <w:rsid w:val="00230412"/>
    <w:rsid w:val="00230DF6"/>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B52FE"/>
    <w:rsid w:val="002B6A3E"/>
    <w:rsid w:val="002B7335"/>
    <w:rsid w:val="002C169F"/>
    <w:rsid w:val="002C3C6B"/>
    <w:rsid w:val="002D3E11"/>
    <w:rsid w:val="002E04E6"/>
    <w:rsid w:val="002E5A2F"/>
    <w:rsid w:val="003024F7"/>
    <w:rsid w:val="00304575"/>
    <w:rsid w:val="0031028C"/>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56E4"/>
    <w:rsid w:val="0036351B"/>
    <w:rsid w:val="00366032"/>
    <w:rsid w:val="003705E8"/>
    <w:rsid w:val="00371543"/>
    <w:rsid w:val="003716D4"/>
    <w:rsid w:val="003925B2"/>
    <w:rsid w:val="00394B25"/>
    <w:rsid w:val="0039560A"/>
    <w:rsid w:val="003A21FE"/>
    <w:rsid w:val="003A5C65"/>
    <w:rsid w:val="003B0DE6"/>
    <w:rsid w:val="003B17F4"/>
    <w:rsid w:val="003B1D77"/>
    <w:rsid w:val="003B7D6F"/>
    <w:rsid w:val="003C3911"/>
    <w:rsid w:val="003D3463"/>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501D"/>
    <w:rsid w:val="004450AB"/>
    <w:rsid w:val="004460E5"/>
    <w:rsid w:val="00451A7E"/>
    <w:rsid w:val="004547E0"/>
    <w:rsid w:val="00461F43"/>
    <w:rsid w:val="0046480C"/>
    <w:rsid w:val="004770BA"/>
    <w:rsid w:val="0048050F"/>
    <w:rsid w:val="0048494A"/>
    <w:rsid w:val="00485AB3"/>
    <w:rsid w:val="0049020D"/>
    <w:rsid w:val="004943B6"/>
    <w:rsid w:val="00494F67"/>
    <w:rsid w:val="00495DCD"/>
    <w:rsid w:val="004A0CC0"/>
    <w:rsid w:val="004A2295"/>
    <w:rsid w:val="004A6D81"/>
    <w:rsid w:val="004A7E24"/>
    <w:rsid w:val="004B7966"/>
    <w:rsid w:val="004B7B8C"/>
    <w:rsid w:val="004C1A02"/>
    <w:rsid w:val="004D4066"/>
    <w:rsid w:val="004D62AF"/>
    <w:rsid w:val="004E42DA"/>
    <w:rsid w:val="004E45D5"/>
    <w:rsid w:val="004E4DFC"/>
    <w:rsid w:val="004E531D"/>
    <w:rsid w:val="004E5AFA"/>
    <w:rsid w:val="004F10CE"/>
    <w:rsid w:val="004F4490"/>
    <w:rsid w:val="004F4EF5"/>
    <w:rsid w:val="004F6A63"/>
    <w:rsid w:val="004F6F43"/>
    <w:rsid w:val="00504A7B"/>
    <w:rsid w:val="0050538B"/>
    <w:rsid w:val="005119FA"/>
    <w:rsid w:val="005133B0"/>
    <w:rsid w:val="00513F60"/>
    <w:rsid w:val="005165DC"/>
    <w:rsid w:val="00532EC9"/>
    <w:rsid w:val="0053409C"/>
    <w:rsid w:val="0053513E"/>
    <w:rsid w:val="005354BE"/>
    <w:rsid w:val="00535FC3"/>
    <w:rsid w:val="00536728"/>
    <w:rsid w:val="0056323B"/>
    <w:rsid w:val="00573771"/>
    <w:rsid w:val="005811F3"/>
    <w:rsid w:val="00582DEA"/>
    <w:rsid w:val="00583571"/>
    <w:rsid w:val="0058589E"/>
    <w:rsid w:val="0059142D"/>
    <w:rsid w:val="005915E3"/>
    <w:rsid w:val="00597C60"/>
    <w:rsid w:val="005A0ED2"/>
    <w:rsid w:val="005A3C89"/>
    <w:rsid w:val="005A42A5"/>
    <w:rsid w:val="005B07C8"/>
    <w:rsid w:val="005B1473"/>
    <w:rsid w:val="005B4A6F"/>
    <w:rsid w:val="005B70DC"/>
    <w:rsid w:val="005B7CA6"/>
    <w:rsid w:val="005C1F9E"/>
    <w:rsid w:val="005D3B0B"/>
    <w:rsid w:val="005E5E7B"/>
    <w:rsid w:val="005F020B"/>
    <w:rsid w:val="005F2783"/>
    <w:rsid w:val="005F3B9E"/>
    <w:rsid w:val="005F3DB9"/>
    <w:rsid w:val="005F5D65"/>
    <w:rsid w:val="005F76FB"/>
    <w:rsid w:val="00604181"/>
    <w:rsid w:val="00604E2D"/>
    <w:rsid w:val="0060567D"/>
    <w:rsid w:val="00611A58"/>
    <w:rsid w:val="00614AA4"/>
    <w:rsid w:val="00616FC1"/>
    <w:rsid w:val="00620469"/>
    <w:rsid w:val="006206EA"/>
    <w:rsid w:val="0063154F"/>
    <w:rsid w:val="00633B19"/>
    <w:rsid w:val="00633EF1"/>
    <w:rsid w:val="00636FC5"/>
    <w:rsid w:val="006400BA"/>
    <w:rsid w:val="00641B9A"/>
    <w:rsid w:val="006423BB"/>
    <w:rsid w:val="00642628"/>
    <w:rsid w:val="006467CA"/>
    <w:rsid w:val="006500A2"/>
    <w:rsid w:val="0066172F"/>
    <w:rsid w:val="00662AD1"/>
    <w:rsid w:val="00663745"/>
    <w:rsid w:val="00670B31"/>
    <w:rsid w:val="00672814"/>
    <w:rsid w:val="006756E6"/>
    <w:rsid w:val="0068404D"/>
    <w:rsid w:val="00687B14"/>
    <w:rsid w:val="006913A0"/>
    <w:rsid w:val="00691427"/>
    <w:rsid w:val="006915F6"/>
    <w:rsid w:val="006918FB"/>
    <w:rsid w:val="00693173"/>
    <w:rsid w:val="0069777F"/>
    <w:rsid w:val="006A4784"/>
    <w:rsid w:val="006A5225"/>
    <w:rsid w:val="006A7107"/>
    <w:rsid w:val="006B3E2E"/>
    <w:rsid w:val="006C472E"/>
    <w:rsid w:val="006C7054"/>
    <w:rsid w:val="006D0FBE"/>
    <w:rsid w:val="006D1116"/>
    <w:rsid w:val="006D2605"/>
    <w:rsid w:val="006E02DD"/>
    <w:rsid w:val="006E1129"/>
    <w:rsid w:val="006E560B"/>
    <w:rsid w:val="00702811"/>
    <w:rsid w:val="00706BC0"/>
    <w:rsid w:val="007138B0"/>
    <w:rsid w:val="00713D54"/>
    <w:rsid w:val="00715399"/>
    <w:rsid w:val="00720C80"/>
    <w:rsid w:val="007230A0"/>
    <w:rsid w:val="0072360B"/>
    <w:rsid w:val="0072435E"/>
    <w:rsid w:val="007249D5"/>
    <w:rsid w:val="00725203"/>
    <w:rsid w:val="00730F68"/>
    <w:rsid w:val="00734037"/>
    <w:rsid w:val="0074190C"/>
    <w:rsid w:val="00755C73"/>
    <w:rsid w:val="00757A64"/>
    <w:rsid w:val="00760C71"/>
    <w:rsid w:val="00763867"/>
    <w:rsid w:val="00767B97"/>
    <w:rsid w:val="0077176C"/>
    <w:rsid w:val="00772C34"/>
    <w:rsid w:val="00773A15"/>
    <w:rsid w:val="007743EC"/>
    <w:rsid w:val="00776852"/>
    <w:rsid w:val="00776D66"/>
    <w:rsid w:val="00777B27"/>
    <w:rsid w:val="00791BB3"/>
    <w:rsid w:val="0079399E"/>
    <w:rsid w:val="00795AB4"/>
    <w:rsid w:val="007975E1"/>
    <w:rsid w:val="007A65A0"/>
    <w:rsid w:val="007B0D2E"/>
    <w:rsid w:val="007B2777"/>
    <w:rsid w:val="007B2968"/>
    <w:rsid w:val="007C39F2"/>
    <w:rsid w:val="007C3AD6"/>
    <w:rsid w:val="007C3D18"/>
    <w:rsid w:val="007D08C1"/>
    <w:rsid w:val="007D31A8"/>
    <w:rsid w:val="007E6D31"/>
    <w:rsid w:val="00800843"/>
    <w:rsid w:val="008024F2"/>
    <w:rsid w:val="00807629"/>
    <w:rsid w:val="008125DA"/>
    <w:rsid w:val="00817229"/>
    <w:rsid w:val="00820DFB"/>
    <w:rsid w:val="00821F58"/>
    <w:rsid w:val="008263E7"/>
    <w:rsid w:val="008306CD"/>
    <w:rsid w:val="00840427"/>
    <w:rsid w:val="008449F5"/>
    <w:rsid w:val="0084546C"/>
    <w:rsid w:val="008471EC"/>
    <w:rsid w:val="008519FE"/>
    <w:rsid w:val="00856ECE"/>
    <w:rsid w:val="00862581"/>
    <w:rsid w:val="00863825"/>
    <w:rsid w:val="008729C9"/>
    <w:rsid w:val="00874B45"/>
    <w:rsid w:val="00880EC6"/>
    <w:rsid w:val="00884A91"/>
    <w:rsid w:val="008935DA"/>
    <w:rsid w:val="008A1B81"/>
    <w:rsid w:val="008A36A4"/>
    <w:rsid w:val="008A699E"/>
    <w:rsid w:val="008A6D37"/>
    <w:rsid w:val="008B7F7F"/>
    <w:rsid w:val="008C1D81"/>
    <w:rsid w:val="008C4583"/>
    <w:rsid w:val="008E256F"/>
    <w:rsid w:val="008E454E"/>
    <w:rsid w:val="008F1AAD"/>
    <w:rsid w:val="008F5288"/>
    <w:rsid w:val="0091113A"/>
    <w:rsid w:val="00915F25"/>
    <w:rsid w:val="009166F0"/>
    <w:rsid w:val="00916E3B"/>
    <w:rsid w:val="00920385"/>
    <w:rsid w:val="009211BD"/>
    <w:rsid w:val="0092160B"/>
    <w:rsid w:val="0092627B"/>
    <w:rsid w:val="00930821"/>
    <w:rsid w:val="00934199"/>
    <w:rsid w:val="009358E1"/>
    <w:rsid w:val="00936A6B"/>
    <w:rsid w:val="00953792"/>
    <w:rsid w:val="009705E2"/>
    <w:rsid w:val="00975940"/>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5C90"/>
    <w:rsid w:val="009F1169"/>
    <w:rsid w:val="009F39E8"/>
    <w:rsid w:val="009F75FD"/>
    <w:rsid w:val="00A15D7D"/>
    <w:rsid w:val="00A2176F"/>
    <w:rsid w:val="00A25526"/>
    <w:rsid w:val="00A30ABC"/>
    <w:rsid w:val="00A31F81"/>
    <w:rsid w:val="00A37819"/>
    <w:rsid w:val="00A4435A"/>
    <w:rsid w:val="00A4451F"/>
    <w:rsid w:val="00A46A80"/>
    <w:rsid w:val="00A5203A"/>
    <w:rsid w:val="00A52D3C"/>
    <w:rsid w:val="00A53139"/>
    <w:rsid w:val="00A53AA5"/>
    <w:rsid w:val="00A62ED4"/>
    <w:rsid w:val="00A6637E"/>
    <w:rsid w:val="00A73148"/>
    <w:rsid w:val="00A74F2B"/>
    <w:rsid w:val="00A8184F"/>
    <w:rsid w:val="00A90B3A"/>
    <w:rsid w:val="00A935E8"/>
    <w:rsid w:val="00A9450A"/>
    <w:rsid w:val="00A9569D"/>
    <w:rsid w:val="00AA538B"/>
    <w:rsid w:val="00AA685C"/>
    <w:rsid w:val="00AB297F"/>
    <w:rsid w:val="00AB2A76"/>
    <w:rsid w:val="00AB4A9B"/>
    <w:rsid w:val="00AC0AF2"/>
    <w:rsid w:val="00AC2568"/>
    <w:rsid w:val="00AC7446"/>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1E9B"/>
    <w:rsid w:val="00B3317B"/>
    <w:rsid w:val="00B36550"/>
    <w:rsid w:val="00B43960"/>
    <w:rsid w:val="00B4595A"/>
    <w:rsid w:val="00B503CA"/>
    <w:rsid w:val="00B56043"/>
    <w:rsid w:val="00B67E1C"/>
    <w:rsid w:val="00B767B8"/>
    <w:rsid w:val="00B77A1D"/>
    <w:rsid w:val="00B80ADA"/>
    <w:rsid w:val="00B8370A"/>
    <w:rsid w:val="00B85CE2"/>
    <w:rsid w:val="00B877F0"/>
    <w:rsid w:val="00B93351"/>
    <w:rsid w:val="00B95B1F"/>
    <w:rsid w:val="00B95E63"/>
    <w:rsid w:val="00B96E91"/>
    <w:rsid w:val="00BA2CDB"/>
    <w:rsid w:val="00BA3C87"/>
    <w:rsid w:val="00BA595B"/>
    <w:rsid w:val="00BA7A98"/>
    <w:rsid w:val="00BB1509"/>
    <w:rsid w:val="00BB6BC4"/>
    <w:rsid w:val="00BC5FAC"/>
    <w:rsid w:val="00BD5606"/>
    <w:rsid w:val="00BE2554"/>
    <w:rsid w:val="00BE3B52"/>
    <w:rsid w:val="00BE465C"/>
    <w:rsid w:val="00C0419D"/>
    <w:rsid w:val="00C05123"/>
    <w:rsid w:val="00C06C73"/>
    <w:rsid w:val="00C15323"/>
    <w:rsid w:val="00C3286F"/>
    <w:rsid w:val="00C3299F"/>
    <w:rsid w:val="00C33013"/>
    <w:rsid w:val="00C43949"/>
    <w:rsid w:val="00C459D1"/>
    <w:rsid w:val="00C47C78"/>
    <w:rsid w:val="00C505BD"/>
    <w:rsid w:val="00C561D9"/>
    <w:rsid w:val="00C665D4"/>
    <w:rsid w:val="00C7245E"/>
    <w:rsid w:val="00C76C16"/>
    <w:rsid w:val="00C77D84"/>
    <w:rsid w:val="00C815C4"/>
    <w:rsid w:val="00C84B6C"/>
    <w:rsid w:val="00C93AC5"/>
    <w:rsid w:val="00CA0F6E"/>
    <w:rsid w:val="00CA1614"/>
    <w:rsid w:val="00CA54AC"/>
    <w:rsid w:val="00CA746E"/>
    <w:rsid w:val="00CA7B78"/>
    <w:rsid w:val="00CB117C"/>
    <w:rsid w:val="00CC297A"/>
    <w:rsid w:val="00CC3B0C"/>
    <w:rsid w:val="00CD687E"/>
    <w:rsid w:val="00CD6BB6"/>
    <w:rsid w:val="00CE3B64"/>
    <w:rsid w:val="00CE436A"/>
    <w:rsid w:val="00CE7C77"/>
    <w:rsid w:val="00CF763D"/>
    <w:rsid w:val="00D002E5"/>
    <w:rsid w:val="00D019FA"/>
    <w:rsid w:val="00D020CC"/>
    <w:rsid w:val="00D042CB"/>
    <w:rsid w:val="00D10633"/>
    <w:rsid w:val="00D10DC3"/>
    <w:rsid w:val="00D12688"/>
    <w:rsid w:val="00D211A9"/>
    <w:rsid w:val="00D259BF"/>
    <w:rsid w:val="00D26281"/>
    <w:rsid w:val="00D27F7C"/>
    <w:rsid w:val="00D46020"/>
    <w:rsid w:val="00D5248E"/>
    <w:rsid w:val="00D56B74"/>
    <w:rsid w:val="00D57A84"/>
    <w:rsid w:val="00D665A9"/>
    <w:rsid w:val="00D72C03"/>
    <w:rsid w:val="00D81CD3"/>
    <w:rsid w:val="00D869DC"/>
    <w:rsid w:val="00D9062C"/>
    <w:rsid w:val="00D91C3A"/>
    <w:rsid w:val="00D93605"/>
    <w:rsid w:val="00D9617E"/>
    <w:rsid w:val="00DB07A4"/>
    <w:rsid w:val="00DB0DAB"/>
    <w:rsid w:val="00DB2837"/>
    <w:rsid w:val="00DB2D8F"/>
    <w:rsid w:val="00DB48CC"/>
    <w:rsid w:val="00DB4B2E"/>
    <w:rsid w:val="00DB6514"/>
    <w:rsid w:val="00DB6A89"/>
    <w:rsid w:val="00DC266B"/>
    <w:rsid w:val="00DC4130"/>
    <w:rsid w:val="00DD18A1"/>
    <w:rsid w:val="00DD282D"/>
    <w:rsid w:val="00DD4471"/>
    <w:rsid w:val="00DE552D"/>
    <w:rsid w:val="00DE5BA8"/>
    <w:rsid w:val="00DE69D3"/>
    <w:rsid w:val="00DE7291"/>
    <w:rsid w:val="00DE73B5"/>
    <w:rsid w:val="00DE7809"/>
    <w:rsid w:val="00DF4B68"/>
    <w:rsid w:val="00E05868"/>
    <w:rsid w:val="00E07594"/>
    <w:rsid w:val="00E11D5F"/>
    <w:rsid w:val="00E15C5B"/>
    <w:rsid w:val="00E162BA"/>
    <w:rsid w:val="00E23F76"/>
    <w:rsid w:val="00E275CE"/>
    <w:rsid w:val="00E41C96"/>
    <w:rsid w:val="00E42650"/>
    <w:rsid w:val="00E4682B"/>
    <w:rsid w:val="00E47699"/>
    <w:rsid w:val="00E51E6C"/>
    <w:rsid w:val="00E52EF8"/>
    <w:rsid w:val="00E628B1"/>
    <w:rsid w:val="00E71D53"/>
    <w:rsid w:val="00E722BD"/>
    <w:rsid w:val="00E830F6"/>
    <w:rsid w:val="00E87347"/>
    <w:rsid w:val="00E945B0"/>
    <w:rsid w:val="00E94AFD"/>
    <w:rsid w:val="00E957AE"/>
    <w:rsid w:val="00EA6262"/>
    <w:rsid w:val="00EB4480"/>
    <w:rsid w:val="00EB6465"/>
    <w:rsid w:val="00ED6677"/>
    <w:rsid w:val="00EE0A42"/>
    <w:rsid w:val="00EE5684"/>
    <w:rsid w:val="00EE6530"/>
    <w:rsid w:val="00F00871"/>
    <w:rsid w:val="00F00E80"/>
    <w:rsid w:val="00F0471A"/>
    <w:rsid w:val="00F0713A"/>
    <w:rsid w:val="00F11018"/>
    <w:rsid w:val="00F15AF4"/>
    <w:rsid w:val="00F16E22"/>
    <w:rsid w:val="00F17C71"/>
    <w:rsid w:val="00F27339"/>
    <w:rsid w:val="00F37D20"/>
    <w:rsid w:val="00F42342"/>
    <w:rsid w:val="00F44A09"/>
    <w:rsid w:val="00F52378"/>
    <w:rsid w:val="00F54888"/>
    <w:rsid w:val="00F57262"/>
    <w:rsid w:val="00F5780C"/>
    <w:rsid w:val="00F61A51"/>
    <w:rsid w:val="00F6407D"/>
    <w:rsid w:val="00F64FBB"/>
    <w:rsid w:val="00F67F81"/>
    <w:rsid w:val="00F703AD"/>
    <w:rsid w:val="00F70EA3"/>
    <w:rsid w:val="00F73553"/>
    <w:rsid w:val="00F778B9"/>
    <w:rsid w:val="00F77E65"/>
    <w:rsid w:val="00F819DE"/>
    <w:rsid w:val="00F8226F"/>
    <w:rsid w:val="00F83543"/>
    <w:rsid w:val="00F84C53"/>
    <w:rsid w:val="00F907D1"/>
    <w:rsid w:val="00F926B8"/>
    <w:rsid w:val="00F9426F"/>
    <w:rsid w:val="00F95F55"/>
    <w:rsid w:val="00F968DC"/>
    <w:rsid w:val="00FA2E27"/>
    <w:rsid w:val="00FA4128"/>
    <w:rsid w:val="00FA6158"/>
    <w:rsid w:val="00FA63F4"/>
    <w:rsid w:val="00FB15E3"/>
    <w:rsid w:val="00FB79BD"/>
    <w:rsid w:val="00FC754C"/>
    <w:rsid w:val="00FD0304"/>
    <w:rsid w:val="00FD3CE4"/>
    <w:rsid w:val="00FD3D1B"/>
    <w:rsid w:val="00FD684B"/>
    <w:rsid w:val="3CD31536"/>
    <w:rsid w:val="3D25D500"/>
    <w:rsid w:val="3EEF98DD"/>
    <w:rsid w:val="3F9FD22F"/>
    <w:rsid w:val="470749E1"/>
    <w:rsid w:val="4F7B247E"/>
    <w:rsid w:val="549F0B68"/>
    <w:rsid w:val="57D94567"/>
    <w:rsid w:val="5CFF1606"/>
    <w:rsid w:val="5DFFCE9C"/>
    <w:rsid w:val="5FB81DCD"/>
    <w:rsid w:val="63BD8BA4"/>
    <w:rsid w:val="6BFEE3C0"/>
    <w:rsid w:val="6BFF0146"/>
    <w:rsid w:val="6EFD90F7"/>
    <w:rsid w:val="72DE18B7"/>
    <w:rsid w:val="7329008F"/>
    <w:rsid w:val="77C6AB6B"/>
    <w:rsid w:val="77FF4F98"/>
    <w:rsid w:val="79FF0142"/>
    <w:rsid w:val="7BFB120F"/>
    <w:rsid w:val="7F7F1836"/>
    <w:rsid w:val="7FDE9EE2"/>
    <w:rsid w:val="93EEA786"/>
    <w:rsid w:val="9CFB7DEA"/>
    <w:rsid w:val="ADAF1DB9"/>
    <w:rsid w:val="B5FF0B5B"/>
    <w:rsid w:val="B76B45F2"/>
    <w:rsid w:val="D5FE192F"/>
    <w:rsid w:val="DDDB2668"/>
    <w:rsid w:val="DFFB0938"/>
    <w:rsid w:val="EB7DFDD5"/>
    <w:rsid w:val="EC3D1978"/>
    <w:rsid w:val="FEFFD74D"/>
    <w:rsid w:val="FFFF8C4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99"/>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1"/>
    <w:next w:val="1"/>
    <w:link w:val="17"/>
    <w:qFormat/>
    <w:uiPriority w:val="9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99"/>
    <w:pPr>
      <w:suppressLineNumbers/>
      <w:suppressAutoHyphens/>
      <w:spacing w:before="120" w:after="120"/>
    </w:pPr>
    <w:rPr>
      <w:rFonts w:cs="Mangal"/>
      <w:i/>
      <w:iCs/>
      <w:kern w:val="21"/>
      <w:sz w:val="24"/>
      <w:lang w:eastAsia="ar-SA"/>
    </w:rPr>
  </w:style>
  <w:style w:type="paragraph" w:styleId="5">
    <w:name w:val="Body Text"/>
    <w:basedOn w:val="1"/>
    <w:link w:val="27"/>
    <w:qFormat/>
    <w:uiPriority w:val="0"/>
    <w:pPr>
      <w:spacing w:after="120"/>
    </w:pPr>
  </w:style>
  <w:style w:type="paragraph" w:styleId="6">
    <w:name w:val="Date"/>
    <w:basedOn w:val="1"/>
    <w:next w:val="1"/>
    <w:link w:val="26"/>
    <w:semiHidden/>
    <w:unhideWhenUsed/>
    <w:qFormat/>
    <w:uiPriority w:val="99"/>
    <w:pPr>
      <w:ind w:left="100" w:leftChars="2500"/>
    </w:pPr>
  </w:style>
  <w:style w:type="paragraph" w:styleId="7">
    <w:name w:val="Balloon Text"/>
    <w:basedOn w:val="1"/>
    <w:link w:val="23"/>
    <w:semiHidden/>
    <w:unhideWhenUsed/>
    <w:qFormat/>
    <w:uiPriority w:val="99"/>
    <w:rPr>
      <w:sz w:val="18"/>
      <w:szCs w:val="18"/>
    </w:rPr>
  </w:style>
  <w:style w:type="paragraph" w:styleId="8">
    <w:name w:val="footer"/>
    <w:basedOn w:val="1"/>
    <w:link w:val="22"/>
    <w:unhideWhenUsed/>
    <w:qFormat/>
    <w:uiPriority w:val="99"/>
    <w:pPr>
      <w:tabs>
        <w:tab w:val="center" w:pos="4153"/>
        <w:tab w:val="right" w:pos="8306"/>
      </w:tabs>
      <w:snapToGrid w:val="0"/>
      <w:jc w:val="left"/>
    </w:pPr>
    <w:rPr>
      <w:sz w:val="18"/>
      <w:szCs w:val="18"/>
    </w:rPr>
  </w:style>
  <w:style w:type="paragraph" w:styleId="9">
    <w:name w:val="header"/>
    <w:basedOn w:val="1"/>
    <w:link w:val="2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HTML Preformatted"/>
    <w:basedOn w:val="1"/>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1">
    <w:name w:val="Normal (Web)"/>
    <w:basedOn w:val="1"/>
    <w:autoRedefine/>
    <w:semiHidden/>
    <w:unhideWhenUsed/>
    <w:qFormat/>
    <w:uiPriority w:val="99"/>
    <w:rPr>
      <w:sz w:val="24"/>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99"/>
    <w:rPr>
      <w:rFonts w:cs="Times New Roman"/>
      <w:b/>
    </w:rPr>
  </w:style>
  <w:style w:type="character" w:customStyle="1" w:styleId="16">
    <w:name w:val="标题 1 Char"/>
    <w:link w:val="2"/>
    <w:qFormat/>
    <w:locked/>
    <w:uiPriority w:val="99"/>
    <w:rPr>
      <w:rFonts w:cs="Times New Roman"/>
      <w:b/>
      <w:kern w:val="1"/>
      <w:sz w:val="44"/>
      <w:lang w:eastAsia="ar-SA" w:bidi="ar-SA"/>
    </w:rPr>
  </w:style>
  <w:style w:type="character" w:customStyle="1" w:styleId="17">
    <w:name w:val="标题 3 Char"/>
    <w:link w:val="3"/>
    <w:autoRedefine/>
    <w:qFormat/>
    <w:locked/>
    <w:uiPriority w:val="99"/>
    <w:rPr>
      <w:rFonts w:cs="Times New Roman"/>
      <w:b/>
      <w:kern w:val="21"/>
      <w:sz w:val="32"/>
      <w:lang w:eastAsia="ar-SA" w:bidi="ar-SA"/>
    </w:rPr>
  </w:style>
  <w:style w:type="paragraph" w:styleId="18">
    <w:name w:val="List Paragraph"/>
    <w:basedOn w:val="1"/>
    <w:qFormat/>
    <w:uiPriority w:val="99"/>
    <w:pPr>
      <w:suppressAutoHyphens/>
      <w:ind w:firstLine="420" w:firstLineChars="200"/>
    </w:pPr>
    <w:rPr>
      <w:kern w:val="21"/>
      <w:lang w:eastAsia="ar-SA"/>
    </w:rPr>
  </w:style>
  <w:style w:type="paragraph" w:customStyle="1" w:styleId="19">
    <w:name w:val="段"/>
    <w:link w:val="20"/>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0">
    <w:name w:val="段 Char"/>
    <w:link w:val="19"/>
    <w:qFormat/>
    <w:locked/>
    <w:uiPriority w:val="0"/>
    <w:rPr>
      <w:rFonts w:ascii="宋体" w:cs="Times New Roman"/>
      <w:sz w:val="21"/>
      <w:lang w:val="en-US" w:eastAsia="zh-CN" w:bidi="ar-SA"/>
    </w:rPr>
  </w:style>
  <w:style w:type="character" w:customStyle="1" w:styleId="21">
    <w:name w:val="页眉 Char"/>
    <w:link w:val="9"/>
    <w:autoRedefine/>
    <w:qFormat/>
    <w:uiPriority w:val="99"/>
    <w:rPr>
      <w:sz w:val="18"/>
      <w:szCs w:val="18"/>
    </w:rPr>
  </w:style>
  <w:style w:type="character" w:customStyle="1" w:styleId="22">
    <w:name w:val="页脚 Char"/>
    <w:link w:val="8"/>
    <w:autoRedefine/>
    <w:qFormat/>
    <w:uiPriority w:val="99"/>
    <w:rPr>
      <w:sz w:val="18"/>
      <w:szCs w:val="18"/>
    </w:rPr>
  </w:style>
  <w:style w:type="character" w:customStyle="1" w:styleId="23">
    <w:name w:val="批注框文本 Char"/>
    <w:link w:val="7"/>
    <w:autoRedefine/>
    <w:semiHidden/>
    <w:qFormat/>
    <w:uiPriority w:val="99"/>
    <w:rPr>
      <w:kern w:val="2"/>
      <w:sz w:val="18"/>
      <w:szCs w:val="18"/>
    </w:rPr>
  </w:style>
  <w:style w:type="table" w:customStyle="1" w:styleId="24">
    <w:name w:val="浅色底纹1"/>
    <w:basedOn w:val="12"/>
    <w:autoRedefine/>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25">
    <w:name w:val="浅色底纹2"/>
    <w:basedOn w:val="12"/>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26">
    <w:name w:val="日期 Char"/>
    <w:basedOn w:val="14"/>
    <w:link w:val="6"/>
    <w:semiHidden/>
    <w:qFormat/>
    <w:uiPriority w:val="99"/>
    <w:rPr>
      <w:kern w:val="2"/>
      <w:sz w:val="21"/>
      <w:szCs w:val="24"/>
    </w:rPr>
  </w:style>
  <w:style w:type="character" w:customStyle="1" w:styleId="27">
    <w:name w:val="正文文本 Char"/>
    <w:basedOn w:val="14"/>
    <w:link w:val="5"/>
    <w:qFormat/>
    <w:uiPriority w:val="0"/>
    <w:rPr>
      <w:kern w:val="2"/>
      <w:sz w:val="21"/>
      <w:szCs w:val="24"/>
    </w:rPr>
  </w:style>
  <w:style w:type="paragraph" w:customStyle="1" w:styleId="28">
    <w:name w:val="标准文件_段"/>
    <w:link w:val="29"/>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9">
    <w:name w:val="标准文件_段 Char"/>
    <w:link w:val="28"/>
    <w:qFormat/>
    <w:uiPriority w:val="0"/>
    <w:rPr>
      <w:rFonts w:ascii="宋体"/>
      <w:sz w:val="21"/>
    </w:rPr>
  </w:style>
  <w:style w:type="paragraph" w:customStyle="1" w:styleId="30">
    <w:name w:val="一级条标题"/>
    <w:next w:val="19"/>
    <w:autoRedefine/>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31">
    <w:name w:val="二级条标题"/>
    <w:basedOn w:val="30"/>
    <w:next w:val="19"/>
    <w:autoRedefine/>
    <w:qFormat/>
    <w:uiPriority w:val="0"/>
    <w:pPr>
      <w:numPr>
        <w:ilvl w:val="2"/>
      </w:numPr>
      <w:spacing w:before="50" w:after="50"/>
      <w:outlineLvl w:val="3"/>
    </w:pPr>
  </w:style>
  <w:style w:type="paragraph" w:customStyle="1" w:styleId="32">
    <w:name w:val="附录表标题"/>
    <w:basedOn w:val="1"/>
    <w:next w:val="19"/>
    <w:autoRedefine/>
    <w:qFormat/>
    <w:uiPriority w:val="0"/>
    <w:pPr>
      <w:numPr>
        <w:ilvl w:val="1"/>
        <w:numId w:val="2"/>
      </w:numPr>
      <w:tabs>
        <w:tab w:val="left" w:pos="180"/>
      </w:tabs>
      <w:spacing w:beforeLines="50" w:afterLines="50"/>
      <w:ind w:left="0" w:firstLine="0"/>
      <w:jc w:val="center"/>
    </w:pPr>
    <w:rPr>
      <w:rFonts w:ascii="黑体" w:eastAsia="黑体"/>
      <w:szCs w:val="21"/>
    </w:rPr>
  </w:style>
  <w:style w:type="paragraph" w:customStyle="1" w:styleId="33">
    <w:name w:val="正文首行缩进 21"/>
    <w:basedOn w:val="1"/>
    <w:next w:val="11"/>
    <w:autoRedefine/>
    <w:qFormat/>
    <w:uiPriority w:val="0"/>
    <w:pPr>
      <w:ind w:left="200" w:leftChars="200"/>
    </w:pPr>
    <w:rPr>
      <w:rFonts w:ascii="Calibri" w:hAnsi="Calibri" w:eastAsia="仿宋_GB231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0D9F7-36DB-4D52-8FEA-941C396F4FD9}">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Pages>
  <Words>794</Words>
  <Characters>4526</Characters>
  <Lines>37</Lines>
  <Paragraphs>10</Paragraphs>
  <TotalTime>4</TotalTime>
  <ScaleCrop>false</ScaleCrop>
  <LinksUpToDate>false</LinksUpToDate>
  <CharactersWithSpaces>5310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2024-04-08T09:48:00Z</dcterms:created>
  <dc:creator>lenovo</dc:creator>
  <cp:lastModifiedBy>我要的飞翔</cp:lastModifiedBy>
  <cp:lastPrinted>2024-08-02T03:30:13Z</cp:lastPrinted>
  <dcterms:modified xsi:type="dcterms:W3CDTF">2024-08-02T03:42:23Z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767BB4B6B887494A969EEDDD84A519B9_13</vt:lpwstr>
  </property>
</Properties>
</file>